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D64D0" w14:textId="6700566D" w:rsidR="004D7907" w:rsidRDefault="00355AC9" w:rsidP="00241568">
      <w:pPr>
        <w:pStyle w:val="1Ttel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9761377" wp14:editId="4331CE2A">
            <wp:simplePos x="0" y="0"/>
            <wp:positionH relativeFrom="column">
              <wp:posOffset>4926330</wp:posOffset>
            </wp:positionH>
            <wp:positionV relativeFrom="paragraph">
              <wp:posOffset>0</wp:posOffset>
            </wp:positionV>
            <wp:extent cx="544830" cy="544830"/>
            <wp:effectExtent l="0" t="0" r="7620" b="762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ZLM_Icons_Heterogenität_transpar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907">
        <w:t>Steckbrief zu Baustein 4:</w:t>
      </w:r>
    </w:p>
    <w:p w14:paraId="6E17A40F" w14:textId="511BD093" w:rsidR="002A537E" w:rsidRDefault="00241568" w:rsidP="00241568">
      <w:pPr>
        <w:pStyle w:val="1Ttel"/>
      </w:pPr>
      <w:r>
        <w:t>Gestaltungselemente des Sachrechenunterrichts</w:t>
      </w:r>
      <w:r w:rsidR="00446BFE" w:rsidRPr="00446BFE">
        <w:t xml:space="preserve"> </w:t>
      </w:r>
    </w:p>
    <w:p w14:paraId="7E6C5F35" w14:textId="238DAC92" w:rsidR="004D7907" w:rsidRPr="004D7907" w:rsidRDefault="004D7907" w:rsidP="00241568">
      <w:pPr>
        <w:pStyle w:val="1Ttel"/>
        <w:rPr>
          <w:sz w:val="24"/>
        </w:rPr>
      </w:pPr>
      <w:r>
        <w:rPr>
          <w:sz w:val="24"/>
        </w:rPr>
        <w:t>im Fortbildungsmodul</w:t>
      </w:r>
      <w:r w:rsidR="0065315E">
        <w:rPr>
          <w:sz w:val="24"/>
        </w:rPr>
        <w:t>:</w:t>
      </w:r>
      <w:r>
        <w:rPr>
          <w:sz w:val="24"/>
        </w:rPr>
        <w:t xml:space="preserve"> Sachrechnen</w:t>
      </w:r>
    </w:p>
    <w:p w14:paraId="5A86A5DA" w14:textId="77777777" w:rsidR="000D6A4C" w:rsidRDefault="001E23A2" w:rsidP="007904F9">
      <w:pPr>
        <w:pStyle w:val="2Autoren"/>
        <w:jc w:val="both"/>
      </w:pPr>
      <w:r>
        <w:t xml:space="preserve">Von Elke Mirwald und Roland Rink erstellt im Kurs „Inhaltsbereiche der Mathematik unter fachdidaktischer </w:t>
      </w:r>
    </w:p>
    <w:p w14:paraId="1BFDD142" w14:textId="24D8BE79" w:rsidR="001E23A2" w:rsidRDefault="000D6A4C" w:rsidP="007904F9">
      <w:pPr>
        <w:pStyle w:val="2Autoren"/>
        <w:jc w:val="both"/>
      </w:pPr>
      <w:r>
        <w:t>Perspektive –</w:t>
      </w:r>
      <w:r w:rsidR="001E23A2">
        <w:t xml:space="preserve"> Sachrechnen: Größen und Messen in der Grundschule“ (6-jährige Grundschule)</w:t>
      </w:r>
    </w:p>
    <w:tbl>
      <w:tblPr>
        <w:tblStyle w:val="Tabellenraster"/>
        <w:tblW w:w="5222" w:type="pct"/>
        <w:tblCellSpacing w:w="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8253"/>
      </w:tblGrid>
      <w:tr w:rsidR="005E1694" w:rsidRPr="005E1694" w14:paraId="3A4D6F2D" w14:textId="77777777" w:rsidTr="00FB01D9">
        <w:trPr>
          <w:trHeight w:val="1077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1838D" w14:textId="77777777" w:rsidR="005E1694" w:rsidRPr="005E1694" w:rsidRDefault="005E1694" w:rsidP="00FB01D9">
            <w:pPr>
              <w:pStyle w:val="3berschrift"/>
            </w:pPr>
            <w:r w:rsidRPr="005E1694">
              <w:t>Grundidee</w:t>
            </w:r>
            <w:r w:rsidR="008B0684">
              <w:t xml:space="preserve"> des Bausteins</w:t>
            </w:r>
            <w:r w:rsidRPr="005E1694">
              <w:t xml:space="preserve"> </w:t>
            </w:r>
          </w:p>
          <w:p w14:paraId="1930A95E" w14:textId="77777777" w:rsidR="005E1694" w:rsidRPr="005E1694" w:rsidRDefault="005E1694" w:rsidP="00E90426">
            <w:pPr>
              <w:overflowPunct w:val="0"/>
              <w:autoSpaceDE w:val="0"/>
              <w:autoSpaceDN w:val="0"/>
              <w:adjustRightInd w:val="0"/>
              <w:ind w:left="-12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8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DC26C" w14:textId="77777777" w:rsidR="009F47EB" w:rsidRDefault="00355BFD" w:rsidP="005B68C5">
            <w:pPr>
              <w:pStyle w:val="4Flietext"/>
              <w:framePr w:wrap="around"/>
              <w:jc w:val="both"/>
            </w:pPr>
            <w:r>
              <w:t>I</w:t>
            </w:r>
            <w:r w:rsidRPr="006D16F7">
              <w:t xml:space="preserve">n diesem </w:t>
            </w:r>
            <w:r>
              <w:t>Modul</w:t>
            </w:r>
            <w:r w:rsidRPr="006D16F7">
              <w:t xml:space="preserve"> sollen die teilnehmenden Lehrerinnen und Lehrer die Gelegenheit bekommen, </w:t>
            </w:r>
            <w:r w:rsidRPr="004E534B">
              <w:t xml:space="preserve">sich zum </w:t>
            </w:r>
            <w:r w:rsidRPr="0024618C">
              <w:rPr>
                <w:b/>
              </w:rPr>
              <w:t>Sachrechnen</w:t>
            </w:r>
            <w:r w:rsidRPr="004E534B">
              <w:t xml:space="preserve"> </w:t>
            </w:r>
            <w:r w:rsidRPr="006D16F7">
              <w:t xml:space="preserve">zu </w:t>
            </w:r>
            <w:r>
              <w:t xml:space="preserve">qualifizieren, die Relevanz des </w:t>
            </w:r>
            <w:r w:rsidRPr="0024618C">
              <w:t>Thema</w:t>
            </w:r>
            <w:r>
              <w:t>s</w:t>
            </w:r>
            <w:r w:rsidRPr="004E534B">
              <w:t xml:space="preserve"> für die Grundschule aus</w:t>
            </w:r>
            <w:r w:rsidRPr="006D16F7">
              <w:t>zu</w:t>
            </w:r>
            <w:r w:rsidRPr="004E534B">
              <w:t xml:space="preserve">loten und zur fachdidaktischen Umsetzung im eigenen Unterricht und an der Schule </w:t>
            </w:r>
            <w:r w:rsidRPr="006D16F7">
              <w:t xml:space="preserve">zu arbeiten. </w:t>
            </w:r>
            <w:r>
              <w:t>I</w:t>
            </w:r>
            <w:r w:rsidRPr="006D16F7">
              <w:t xml:space="preserve">n diesem Workshop </w:t>
            </w:r>
            <w:r>
              <w:t xml:space="preserve">werden zum Abschluss des Moduls </w:t>
            </w:r>
            <w:r w:rsidRPr="00355BFD">
              <w:rPr>
                <w:b/>
              </w:rPr>
              <w:t>Gestaltungselemente des Sachrechenunterrichts</w:t>
            </w:r>
            <w:r>
              <w:t xml:space="preserve"> in den Mittelpunkt gestellt</w:t>
            </w:r>
            <w:r w:rsidR="005B68C5">
              <w:t>. I</w:t>
            </w:r>
            <w:r w:rsidR="005B68C5" w:rsidRPr="005B68C5">
              <w:t>n Fortführung der Überlegungen zu Unterstützungsangeboten für Kinder in Problemlöseprozessen aus dem Baustein 3, werden in diesem Workshop Texterschließungs- und grafische Bearbeitungshilfen thematisiert und diskutiert.</w:t>
            </w:r>
          </w:p>
          <w:p w14:paraId="7ADE3969" w14:textId="72CA90B1" w:rsidR="00777CAE" w:rsidRPr="005E1694" w:rsidRDefault="00777CAE" w:rsidP="005B68C5">
            <w:pPr>
              <w:pStyle w:val="4Flietext"/>
              <w:framePr w:wrap="around"/>
              <w:jc w:val="both"/>
            </w:pPr>
          </w:p>
        </w:tc>
      </w:tr>
      <w:tr w:rsidR="005E1694" w:rsidRPr="005E1694" w14:paraId="6B27DA3E" w14:textId="77777777" w:rsidTr="00FB01D9">
        <w:trPr>
          <w:trHeight w:val="1054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D8E7" w14:textId="77777777" w:rsidR="005E1694" w:rsidRPr="005E1694" w:rsidRDefault="005E1694" w:rsidP="00FB01D9">
            <w:pPr>
              <w:pStyle w:val="3berschrift"/>
            </w:pPr>
            <w:r w:rsidRPr="005E1694">
              <w:t xml:space="preserve">Zielgruppe </w:t>
            </w:r>
            <w:r w:rsidRPr="005E1694">
              <w:br/>
              <w:t xml:space="preserve">und Ziele </w:t>
            </w:r>
          </w:p>
          <w:p w14:paraId="19C401AB" w14:textId="77777777" w:rsidR="005E1694" w:rsidRPr="005E1694" w:rsidRDefault="005E1694" w:rsidP="00E90426">
            <w:pPr>
              <w:overflowPunct w:val="0"/>
              <w:autoSpaceDE w:val="0"/>
              <w:autoSpaceDN w:val="0"/>
              <w:adjustRightInd w:val="0"/>
              <w:ind w:left="-12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8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0B83E" w14:textId="415964B0" w:rsidR="0024618C" w:rsidRDefault="0024618C" w:rsidP="007904F9">
            <w:pPr>
              <w:pStyle w:val="4Flietext"/>
              <w:framePr w:hSpace="0" w:wrap="auto" w:vAnchor="margin" w:hAnchor="text" w:yAlign="inline"/>
              <w:jc w:val="both"/>
            </w:pPr>
            <w:r w:rsidRPr="009A2458">
              <w:t>Praktiz</w:t>
            </w:r>
            <w:r>
              <w:t>ierende Mathematik</w:t>
            </w:r>
            <w:r w:rsidR="0056713B">
              <w:t>l</w:t>
            </w:r>
            <w:r>
              <w:t xml:space="preserve">ehrpersonen der Grundschule und der Eingangsstufe der Sek I </w:t>
            </w:r>
            <w:r w:rsidR="000A500C">
              <w:br/>
            </w:r>
            <w:r w:rsidRPr="009A2458">
              <w:t>(auch fachfremd</w:t>
            </w:r>
            <w:r>
              <w:t xml:space="preserve"> Unterrichtende und Berufseinsteigerinnen und Berufseinsteiger)</w:t>
            </w:r>
          </w:p>
          <w:p w14:paraId="5828E210" w14:textId="5954422F" w:rsidR="00332656" w:rsidRPr="007904F9" w:rsidRDefault="0024618C" w:rsidP="00BA79DF">
            <w:pPr>
              <w:pStyle w:val="5Aufzhlung"/>
              <w:framePr w:wrap="around"/>
            </w:pPr>
            <w:r w:rsidRPr="007904F9">
              <w:t xml:space="preserve">reflektieren, vertiefen und erwerben grundlegendes Wissen zu </w:t>
            </w:r>
            <w:r w:rsidR="006C0054" w:rsidRPr="007904F9">
              <w:t>möglichen Gestaltungs</w:t>
            </w:r>
            <w:r w:rsidR="000A500C" w:rsidRPr="007904F9">
              <w:t>-</w:t>
            </w:r>
            <w:r w:rsidR="006C0054" w:rsidRPr="007904F9">
              <w:t xml:space="preserve">elementen </w:t>
            </w:r>
            <w:r w:rsidR="000A500C" w:rsidRPr="007904F9">
              <w:t>des Sachrech</w:t>
            </w:r>
            <w:r w:rsidR="005B68C5" w:rsidRPr="007904F9">
              <w:t>enunterrichts</w:t>
            </w:r>
            <w:r w:rsidR="000A500C" w:rsidRPr="007904F9">
              <w:t>,</w:t>
            </w:r>
          </w:p>
          <w:p w14:paraId="33755ADA" w14:textId="107BDE51" w:rsidR="00332656" w:rsidRPr="007904F9" w:rsidRDefault="00332656" w:rsidP="00BA79DF">
            <w:pPr>
              <w:pStyle w:val="5Aufzhlung"/>
              <w:framePr w:wrap="around"/>
            </w:pPr>
            <w:r w:rsidRPr="007904F9">
              <w:t xml:space="preserve">erlernen und vertiefen ihre Kenntnisse, </w:t>
            </w:r>
            <w:r w:rsidR="00633646" w:rsidRPr="007904F9">
              <w:t xml:space="preserve">um </w:t>
            </w:r>
            <w:r w:rsidRPr="007904F9">
              <w:t xml:space="preserve">Modellierungsprozesse mit </w:t>
            </w:r>
            <w:r w:rsidR="005B68C5" w:rsidRPr="007904F9">
              <w:t xml:space="preserve">Lernenden </w:t>
            </w:r>
            <w:r w:rsidRPr="007904F9">
              <w:t xml:space="preserve">auf unterschiedlichen Niveaustufen zu </w:t>
            </w:r>
            <w:r w:rsidR="00633646" w:rsidRPr="007904F9">
              <w:t>gestalten</w:t>
            </w:r>
            <w:r w:rsidR="000A500C" w:rsidRPr="007904F9">
              <w:t>,</w:t>
            </w:r>
            <w:r w:rsidRPr="007904F9">
              <w:t xml:space="preserve"> </w:t>
            </w:r>
          </w:p>
          <w:p w14:paraId="15E891F5" w14:textId="77777777" w:rsidR="00777CAE" w:rsidRDefault="00961238" w:rsidP="00BA79DF">
            <w:pPr>
              <w:pStyle w:val="5Aufzhlung"/>
              <w:framePr w:wrap="around"/>
            </w:pPr>
            <w:r w:rsidRPr="007904F9">
              <w:t>lernen mit und voneinander in einer Professionellen Lerngemeinschaft (PLG).</w:t>
            </w:r>
          </w:p>
          <w:p w14:paraId="382B2B45" w14:textId="462F0BE8" w:rsidR="00065255" w:rsidRPr="009F47EB" w:rsidRDefault="00065255" w:rsidP="00065255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</w:pPr>
          </w:p>
        </w:tc>
      </w:tr>
      <w:tr w:rsidR="005E1694" w:rsidRPr="005E1694" w14:paraId="64325BF8" w14:textId="77777777" w:rsidTr="00FB01D9">
        <w:trPr>
          <w:trHeight w:val="1318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771A" w14:textId="77777777" w:rsidR="005E1694" w:rsidRPr="005E1694" w:rsidRDefault="005E1694" w:rsidP="00FB01D9">
            <w:pPr>
              <w:pStyle w:val="3berschrift"/>
            </w:pPr>
            <w:r w:rsidRPr="005E1694">
              <w:t xml:space="preserve">Hintergrund </w:t>
            </w:r>
            <w:r w:rsidRPr="005E1694">
              <w:br/>
            </w:r>
          </w:p>
        </w:tc>
        <w:tc>
          <w:tcPr>
            <w:tcW w:w="8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26F0" w14:textId="70298E83" w:rsidR="009F47EB" w:rsidRPr="00961238" w:rsidRDefault="00FF211A" w:rsidP="00332656">
            <w:pPr>
              <w:pStyle w:val="4Flietext"/>
              <w:framePr w:wrap="around"/>
              <w:jc w:val="both"/>
              <w:rPr>
                <w:color w:val="auto"/>
              </w:rPr>
            </w:pPr>
            <w:r>
              <w:t xml:space="preserve">Weitgehende Einigkeit besteht darin, dass es nicht genügt, </w:t>
            </w:r>
            <w:r w:rsidR="000A500C">
              <w:t xml:space="preserve">im Unterricht </w:t>
            </w:r>
            <w:r>
              <w:t>viele Sachaufgaben lösen zu lassen, in der Erwartung, dass die Schüler</w:t>
            </w:r>
            <w:r w:rsidR="000A500C">
              <w:t>innen und Schüler</w:t>
            </w:r>
            <w:r>
              <w:t xml:space="preserve"> den Lösungsprozess </w:t>
            </w:r>
            <w:proofErr w:type="gramStart"/>
            <w:r>
              <w:t>irgend</w:t>
            </w:r>
            <w:r w:rsidR="000A500C">
              <w:t>-</w:t>
            </w:r>
            <w:r>
              <w:t>wann</w:t>
            </w:r>
            <w:proofErr w:type="gramEnd"/>
            <w:r>
              <w:t xml:space="preserve"> beherrschen. Sachrechnen muss genauso wie andere Inhaltsbereiche des</w:t>
            </w:r>
            <w:r w:rsidR="001D1BB4">
              <w:t xml:space="preserve"> </w:t>
            </w:r>
            <w:proofErr w:type="gramStart"/>
            <w:r>
              <w:t>Mathematik</w:t>
            </w:r>
            <w:r w:rsidR="000A500C">
              <w:t>-</w:t>
            </w:r>
            <w:r>
              <w:t>unterrichts</w:t>
            </w:r>
            <w:proofErr w:type="gramEnd"/>
            <w:r>
              <w:t xml:space="preserve"> einen eigenen Lernbereich darstellen.</w:t>
            </w:r>
            <w:r w:rsidR="00D20F69">
              <w:t xml:space="preserve"> </w:t>
            </w:r>
            <w:r w:rsidR="00D20F69" w:rsidRPr="00961238">
              <w:rPr>
                <w:color w:val="auto"/>
              </w:rPr>
              <w:t>Das Ausbilden von</w:t>
            </w:r>
            <w:r w:rsidR="005048E6">
              <w:rPr>
                <w:color w:val="auto"/>
              </w:rPr>
              <w:t xml:space="preserve"> </w:t>
            </w:r>
            <w:r w:rsidR="00D20F69" w:rsidRPr="00961238">
              <w:rPr>
                <w:color w:val="auto"/>
              </w:rPr>
              <w:t>Teilhandlu</w:t>
            </w:r>
            <w:r w:rsidR="000A500C">
              <w:rPr>
                <w:color w:val="auto"/>
              </w:rPr>
              <w:t>n</w:t>
            </w:r>
            <w:r w:rsidR="00D20F69" w:rsidRPr="00961238">
              <w:rPr>
                <w:color w:val="auto"/>
              </w:rPr>
              <w:t>gen</w:t>
            </w:r>
            <w:r w:rsidR="005048E6">
              <w:t xml:space="preserve"> (Verstehen, Lösen und Validieren)</w:t>
            </w:r>
            <w:r w:rsidR="00D20F69" w:rsidRPr="00961238">
              <w:rPr>
                <w:color w:val="auto"/>
              </w:rPr>
              <w:t>, die individuell auf das jeweilige Kind abgestimmt sind, ist dabei von besonderer Bedeutung.</w:t>
            </w:r>
          </w:p>
          <w:p w14:paraId="0BBCC731" w14:textId="2E2313F8" w:rsidR="0013395B" w:rsidRPr="005E1694" w:rsidRDefault="00FF211A" w:rsidP="005048E6">
            <w:pPr>
              <w:pStyle w:val="4Flietext"/>
              <w:framePr w:wrap="around"/>
              <w:jc w:val="both"/>
            </w:pPr>
            <w:r>
              <w:t>Mit den Teilnehmenden werden die verschiedenen Kompetenzen (Teil</w:t>
            </w:r>
            <w:r w:rsidR="005048E6">
              <w:t>handlungen</w:t>
            </w:r>
            <w:r>
              <w:t xml:space="preserve">) betrachtet, die zum Lösen von Sachaufgaben wichtig sind und </w:t>
            </w:r>
            <w:r w:rsidR="000A500C">
              <w:t xml:space="preserve">es wird </w:t>
            </w:r>
            <w:r>
              <w:t>erarbeitet, wie diese im Unterricht thematisiert und gefördert werden können.</w:t>
            </w:r>
          </w:p>
        </w:tc>
      </w:tr>
      <w:tr w:rsidR="005E1694" w:rsidRPr="005E1694" w14:paraId="4F2F811F" w14:textId="77777777" w:rsidTr="00FB01D9">
        <w:trPr>
          <w:cantSplit/>
          <w:trHeight w:val="2126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29A2" w14:textId="77777777" w:rsidR="005E1694" w:rsidRPr="005E1694" w:rsidRDefault="005E1694" w:rsidP="00FB01D9">
            <w:pPr>
              <w:pStyle w:val="3berschrift"/>
            </w:pPr>
            <w:r w:rsidRPr="005E1694">
              <w:t>Struktur und Kernaktivitäten</w:t>
            </w:r>
          </w:p>
        </w:tc>
        <w:tc>
          <w:tcPr>
            <w:tcW w:w="8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D2550" w14:textId="192D2ACB" w:rsidR="00961238" w:rsidRDefault="00961238" w:rsidP="00FB01D9">
            <w:pPr>
              <w:pStyle w:val="4Flietext"/>
              <w:framePr w:wrap="around"/>
              <w:numPr>
                <w:ilvl w:val="0"/>
                <w:numId w:val="12"/>
              </w:numPr>
              <w:jc w:val="both"/>
            </w:pPr>
            <w:r w:rsidRPr="007D2F5A">
              <w:t xml:space="preserve">Die </w:t>
            </w:r>
            <w:r w:rsidRPr="0050421F">
              <w:rPr>
                <w:b/>
              </w:rPr>
              <w:t>Reflexion der Praxisphase</w:t>
            </w:r>
            <w:r w:rsidRPr="007D2F5A">
              <w:t xml:space="preserve"> nimmt </w:t>
            </w:r>
            <w:r>
              <w:t>zwei</w:t>
            </w:r>
            <w:r w:rsidRPr="007D2F5A">
              <w:t xml:space="preserve"> Bereich</w:t>
            </w:r>
            <w:r>
              <w:t>e</w:t>
            </w:r>
            <w:r w:rsidRPr="007D2F5A">
              <w:t xml:space="preserve"> in den Blick: Zunächst </w:t>
            </w:r>
            <w:r w:rsidRPr="00685599">
              <w:t xml:space="preserve">stehen Arbeitszusammenhänge an den Schulen im Mittelpunkt. Es werden Gelingensbedingungen und Hemmnisse für </w:t>
            </w:r>
            <w:r w:rsidRPr="00685599">
              <w:rPr>
                <w:i/>
              </w:rPr>
              <w:t>Lehre</w:t>
            </w:r>
            <w:r w:rsidR="004A49E4">
              <w:rPr>
                <w:i/>
              </w:rPr>
              <w:t>nden</w:t>
            </w:r>
            <w:r w:rsidRPr="00685599">
              <w:rPr>
                <w:i/>
              </w:rPr>
              <w:t xml:space="preserve">kooperation </w:t>
            </w:r>
            <w:r w:rsidRPr="00685599">
              <w:t>herausgestellt. Merkmale erfolgreich erlebter Lehre</w:t>
            </w:r>
            <w:r w:rsidR="004A49E4">
              <w:t>nden</w:t>
            </w:r>
            <w:r w:rsidRPr="00685599">
              <w:t xml:space="preserve">kooperation werden festgehalten. </w:t>
            </w:r>
            <w:r w:rsidRPr="007D2F5A">
              <w:t>Im zweiten Te</w:t>
            </w:r>
            <w:r>
              <w:t xml:space="preserve">il erfolgt eine </w:t>
            </w:r>
            <w:r w:rsidRPr="0050421F">
              <w:rPr>
                <w:i/>
              </w:rPr>
              <w:t>fachinhaltliche und fachdidaktische Reflexion</w:t>
            </w:r>
            <w:r w:rsidRPr="007D2F5A">
              <w:t xml:space="preserve"> der Beiträ</w:t>
            </w:r>
            <w:r>
              <w:t xml:space="preserve">ge der Unterrichtserprobungen. </w:t>
            </w:r>
            <w:r w:rsidRPr="007D2F5A">
              <w:t>Der Erfahrungsaustausch in Jahrgangsstufen wird von den Lehrkräften sehr geschätzt. Im Plenum werden dann wesentlich</w:t>
            </w:r>
            <w:r>
              <w:t>e</w:t>
            </w:r>
            <w:r w:rsidRPr="007D2F5A">
              <w:t xml:space="preserve"> Diskussionsschwerpunkte zusammengetragen und Merkmale eines modernen Mathematikunterrichts herausgestellt.</w:t>
            </w:r>
          </w:p>
          <w:p w14:paraId="09BD327A" w14:textId="5F423C23" w:rsidR="003F2E1D" w:rsidRPr="007D2F5A" w:rsidRDefault="005B68C5" w:rsidP="00FB01D9">
            <w:pPr>
              <w:pStyle w:val="4Flietext"/>
              <w:framePr w:wrap="around"/>
              <w:numPr>
                <w:ilvl w:val="0"/>
                <w:numId w:val="12"/>
              </w:numPr>
              <w:jc w:val="both"/>
            </w:pPr>
            <w:r>
              <w:t>Es werden</w:t>
            </w:r>
            <w:r w:rsidR="00023223">
              <w:t xml:space="preserve"> </w:t>
            </w:r>
            <w:r w:rsidR="00815D5B" w:rsidRPr="005947BD">
              <w:rPr>
                <w:b/>
              </w:rPr>
              <w:t>Texterschließungs-</w:t>
            </w:r>
            <w:r w:rsidR="00023223" w:rsidRPr="005947BD">
              <w:rPr>
                <w:b/>
              </w:rPr>
              <w:t xml:space="preserve"> und </w:t>
            </w:r>
            <w:r w:rsidR="003F2E1D" w:rsidRPr="005947BD">
              <w:rPr>
                <w:b/>
              </w:rPr>
              <w:t>grafische Bearbeitungshilfen</w:t>
            </w:r>
            <w:r w:rsidR="00023223">
              <w:t xml:space="preserve"> them</w:t>
            </w:r>
            <w:r w:rsidR="00815D5B">
              <w:t>a</w:t>
            </w:r>
            <w:r w:rsidR="00023223">
              <w:t>tisiert und diskutiert.</w:t>
            </w:r>
          </w:p>
          <w:p w14:paraId="3A461F94" w14:textId="7616E5A1" w:rsidR="00961238" w:rsidRDefault="00241568" w:rsidP="00FB01D9">
            <w:pPr>
              <w:pStyle w:val="4Flietext"/>
              <w:framePr w:wrap="around"/>
              <w:numPr>
                <w:ilvl w:val="0"/>
                <w:numId w:val="12"/>
              </w:numPr>
              <w:jc w:val="both"/>
              <w:rPr>
                <w:rFonts w:ascii="Noto Sans Symbols" w:hAnsi="Noto Sans Symbols"/>
              </w:rPr>
            </w:pPr>
            <w:r>
              <w:t xml:space="preserve">Den Teilnehmenden werden unterschiedliche </w:t>
            </w:r>
            <w:r w:rsidRPr="00961238">
              <w:rPr>
                <w:b/>
              </w:rPr>
              <w:t>Differenzierungsmodelle</w:t>
            </w:r>
            <w:r>
              <w:t xml:space="preserve"> aus der didaktischen Literatur vorgestellt und hinsichtlich der erlebten Unterrichtspraxis diskutiert.</w:t>
            </w:r>
            <w:r w:rsidR="00961238">
              <w:rPr>
                <w:rFonts w:ascii="Noto Sans Symbols" w:hAnsi="Noto Sans Symbols"/>
              </w:rPr>
              <w:t xml:space="preserve"> </w:t>
            </w:r>
            <w:r>
              <w:t>Differenzierte Arbeitsweisen bei der Gestaltung des Sachrechenunterrichts werden dann exemplarisch betrachtet und analysiert.</w:t>
            </w:r>
            <w:r w:rsidR="00961238">
              <w:rPr>
                <w:rFonts w:ascii="Noto Sans Symbols" w:hAnsi="Noto Sans Symbols"/>
              </w:rPr>
              <w:t xml:space="preserve"> </w:t>
            </w:r>
            <w:r>
              <w:t>Vor- und Nachteile unterschiedlicher Differenzierungsmöglichkeiten werden miteinander verglichen und unter dem Aspekt eines sinnvollen Einsatzes im Unterricht beurteilt.</w:t>
            </w:r>
          </w:p>
          <w:p w14:paraId="6D96EEA6" w14:textId="77777777" w:rsidR="005E1694" w:rsidRPr="00777CAE" w:rsidRDefault="003F2E1D" w:rsidP="00FB01D9">
            <w:pPr>
              <w:pStyle w:val="4Flietext"/>
              <w:framePr w:wrap="around"/>
              <w:numPr>
                <w:ilvl w:val="0"/>
                <w:numId w:val="12"/>
              </w:numPr>
              <w:jc w:val="both"/>
              <w:rPr>
                <w:rFonts w:ascii="Noto Sans Symbols" w:hAnsi="Noto Sans Symbols"/>
              </w:rPr>
            </w:pPr>
            <w:r w:rsidRPr="00DC63AB">
              <w:t xml:space="preserve">Die Fortbildung will über die Nachhaltigkeit bei der einzelnen Lehrkraft hinaus, </w:t>
            </w:r>
            <w:r w:rsidRPr="00DC63AB">
              <w:rPr>
                <w:b/>
              </w:rPr>
              <w:t>Impulse für die Fachgruppe Mathematik</w:t>
            </w:r>
            <w:r w:rsidRPr="00DC63AB">
              <w:t xml:space="preserve"> der Schule geben. Ausgehend von der Reflexionsphase zu Beginn der Veranstaltung werden nochmals beispielhaft Gelingensbedingungen für erfolgreich erlebte Lehre</w:t>
            </w:r>
            <w:r w:rsidR="00636DCA">
              <w:t>nden</w:t>
            </w:r>
            <w:r w:rsidRPr="00DC63AB">
              <w:t>kooperation benannt und Wege aufgezeigt, um Hemmnisse zu überwinden.</w:t>
            </w:r>
          </w:p>
          <w:p w14:paraId="2F363F84" w14:textId="6752C686" w:rsidR="00777CAE" w:rsidRPr="00685599" w:rsidRDefault="00777CAE" w:rsidP="00777CAE">
            <w:pPr>
              <w:pStyle w:val="5Aufzhlung"/>
              <w:framePr w:wrap="around"/>
              <w:numPr>
                <w:ilvl w:val="0"/>
                <w:numId w:val="0"/>
              </w:numPr>
              <w:jc w:val="both"/>
              <w:rPr>
                <w:rFonts w:ascii="Noto Sans Symbols" w:hAnsi="Noto Sans Symbols"/>
              </w:rPr>
            </w:pPr>
          </w:p>
        </w:tc>
      </w:tr>
      <w:tr w:rsidR="005E1694" w:rsidRPr="00311733" w14:paraId="67DCCAFD" w14:textId="77777777" w:rsidTr="00FB01D9">
        <w:trPr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957C1" w14:textId="77777777" w:rsidR="005E1694" w:rsidRPr="005E1694" w:rsidRDefault="005E1694" w:rsidP="00FB01D9">
            <w:pPr>
              <w:pStyle w:val="3berschrift"/>
            </w:pPr>
            <w:r w:rsidRPr="005E1694">
              <w:lastRenderedPageBreak/>
              <w:t>Verfügbares</w:t>
            </w:r>
          </w:p>
          <w:p w14:paraId="06286A9F" w14:textId="77777777" w:rsidR="005E1694" w:rsidRPr="005E1694" w:rsidRDefault="005E1694" w:rsidP="00FB01D9">
            <w:pPr>
              <w:pStyle w:val="3berschrift"/>
            </w:pPr>
            <w:r w:rsidRPr="005E1694">
              <w:t xml:space="preserve">Material </w:t>
            </w:r>
          </w:p>
        </w:tc>
        <w:tc>
          <w:tcPr>
            <w:tcW w:w="8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2C59" w14:textId="30AD6805" w:rsidR="008D1528" w:rsidRPr="0012799B" w:rsidRDefault="005E1694" w:rsidP="00A62971">
            <w:pPr>
              <w:pStyle w:val="6Nummerierung"/>
              <w:framePr w:wrap="around"/>
              <w:ind w:left="393" w:hanging="425"/>
            </w:pPr>
            <w:r w:rsidRPr="00777CAE">
              <w:t>Präsentation:</w:t>
            </w:r>
            <w:r w:rsidR="00417E99" w:rsidRPr="00777CAE">
              <w:t xml:space="preserve"> </w:t>
            </w:r>
            <w:r w:rsidR="00E06329" w:rsidRPr="00540DD1">
              <w:rPr>
                <w:b/>
              </w:rPr>
              <w:br/>
            </w:r>
            <w:r w:rsidR="00E06329">
              <w:t>DZLM-</w:t>
            </w:r>
            <w:r w:rsidR="004856EA">
              <w:t>Sachrechnen</w:t>
            </w:r>
            <w:r w:rsidR="00E06329">
              <w:t>-BS</w:t>
            </w:r>
            <w:r w:rsidR="00241568">
              <w:t>4</w:t>
            </w:r>
            <w:r w:rsidR="004856EA">
              <w:t>-Folien</w:t>
            </w:r>
            <w:r w:rsidR="005B68C5">
              <w:t>.</w:t>
            </w:r>
            <w:r w:rsidR="00752D64" w:rsidRPr="00A94217">
              <w:t>pptx</w:t>
            </w:r>
          </w:p>
          <w:p w14:paraId="03462A87" w14:textId="77777777" w:rsidR="008D1300" w:rsidRPr="00777CAE" w:rsidRDefault="005E1694" w:rsidP="00E90426">
            <w:pPr>
              <w:pStyle w:val="6Nummerierung"/>
              <w:framePr w:wrap="around"/>
              <w:ind w:left="393" w:hanging="425"/>
            </w:pPr>
            <w:r w:rsidRPr="00777CAE">
              <w:t xml:space="preserve">Material für die Arbeitsphasen: </w:t>
            </w:r>
          </w:p>
          <w:p w14:paraId="35DA2881" w14:textId="77777777" w:rsidR="00DC63AB" w:rsidRDefault="00DC63AB" w:rsidP="00E9042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>AB-Praxis-Fachl didakt Auftrag.doc</w:t>
            </w:r>
          </w:p>
          <w:p w14:paraId="0D509DD5" w14:textId="77777777" w:rsidR="00DC63AB" w:rsidRDefault="00DC63AB" w:rsidP="00E9042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>AB-Praxis-Erfahrungsbericht.doc</w:t>
            </w:r>
          </w:p>
          <w:p w14:paraId="68C3AB00" w14:textId="77777777" w:rsidR="00DC63AB" w:rsidRPr="00DC63AB" w:rsidRDefault="00DC63AB" w:rsidP="00E9042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>AB-Praxis-Arbeit PLG.doc</w:t>
            </w:r>
          </w:p>
          <w:p w14:paraId="358408CD" w14:textId="77777777" w:rsidR="00DA5B6B" w:rsidRDefault="00DA5B6B" w:rsidP="00E9042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 w:rsidRPr="003B7401">
              <w:t>Problemaufgaben von Rasch</w:t>
            </w:r>
            <w:r>
              <w:t xml:space="preserve"> (2003)</w:t>
            </w:r>
          </w:p>
          <w:p w14:paraId="4596570D" w14:textId="11CDE430" w:rsidR="005E1694" w:rsidRPr="00E90426" w:rsidRDefault="00BF5422" w:rsidP="00E9042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  <w:rPr>
                <w:color w:val="327A86"/>
                <w:u w:val="single"/>
              </w:rPr>
            </w:pPr>
            <w:r w:rsidRPr="00E90426">
              <w:t>PIK</w:t>
            </w:r>
            <w:r w:rsidR="00DA5B6B" w:rsidRPr="00E90426">
              <w:t>AS- Material – Modul 7.4</w:t>
            </w:r>
            <w:r w:rsidR="00777CAE" w:rsidRPr="00E90426">
              <w:t xml:space="preserve"> (</w:t>
            </w:r>
            <w:hyperlink r:id="rId9" w:history="1">
              <w:r w:rsidR="00777CAE" w:rsidRPr="00E90426">
                <w:rPr>
                  <w:rStyle w:val="Hyperlink"/>
                </w:rPr>
                <w:t>http://pikas.dzlm.de/209</w:t>
              </w:r>
            </w:hyperlink>
            <w:r w:rsidR="00777CAE" w:rsidRPr="00E90426">
              <w:rPr>
                <w:color w:val="327A86"/>
                <w:u w:val="single"/>
              </w:rPr>
              <w:t>)</w:t>
            </w:r>
          </w:p>
          <w:p w14:paraId="6528C364" w14:textId="547FCADD" w:rsidR="00777CAE" w:rsidRPr="00E90426" w:rsidRDefault="00777CAE" w:rsidP="00777CAE">
            <w:pPr>
              <w:pStyle w:val="5Aufzhlung"/>
              <w:framePr w:wrap="around"/>
              <w:numPr>
                <w:ilvl w:val="0"/>
                <w:numId w:val="0"/>
              </w:numPr>
              <w:ind w:left="454" w:hanging="454"/>
            </w:pPr>
          </w:p>
        </w:tc>
      </w:tr>
      <w:tr w:rsidR="0012799B" w:rsidRPr="005E1694" w14:paraId="32AC9EEB" w14:textId="77777777" w:rsidTr="00FB01D9">
        <w:trPr>
          <w:trHeight w:hRule="exact" w:val="1096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28D3" w14:textId="77777777" w:rsidR="0012799B" w:rsidRPr="00E90426" w:rsidRDefault="0012799B" w:rsidP="00FB01D9">
            <w:pPr>
              <w:pStyle w:val="3berschrift"/>
            </w:pPr>
          </w:p>
        </w:tc>
        <w:tc>
          <w:tcPr>
            <w:tcW w:w="8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E31F" w14:textId="77777777" w:rsidR="0012799B" w:rsidRPr="0012799B" w:rsidRDefault="0012799B" w:rsidP="005D30D7">
            <w:pPr>
              <w:pStyle w:val="4Flietext"/>
              <w:framePr w:wrap="around"/>
            </w:pPr>
            <w:r w:rsidRPr="0012799B">
              <w:t>Außerdem notwendig:</w:t>
            </w:r>
          </w:p>
          <w:p w14:paraId="23DBE625" w14:textId="77777777" w:rsidR="00540DD1" w:rsidRDefault="00540DD1" w:rsidP="00E90426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  <w:ind w:left="393" w:hanging="393"/>
            </w:pPr>
            <w:r>
              <w:t>Laptop, Beamer</w:t>
            </w:r>
          </w:p>
          <w:p w14:paraId="4618D0AA" w14:textId="56C599BB" w:rsidR="00540DD1" w:rsidRDefault="007904F9" w:rsidP="00E90426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  <w:ind w:left="393" w:hanging="393"/>
            </w:pPr>
            <w:r>
              <w:t>Pinnwände, Flip-C</w:t>
            </w:r>
            <w:r w:rsidR="00540DD1">
              <w:t>hart, Moderationsmaterial, Stifte</w:t>
            </w:r>
          </w:p>
          <w:p w14:paraId="4109DE94" w14:textId="77777777" w:rsidR="004856EA" w:rsidRPr="0012799B" w:rsidRDefault="00540DD1" w:rsidP="00E90426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4"/>
              </w:numPr>
              <w:ind w:left="393" w:hanging="393"/>
            </w:pPr>
            <w:r>
              <w:t>Namensschilder</w:t>
            </w:r>
          </w:p>
        </w:tc>
      </w:tr>
    </w:tbl>
    <w:p w14:paraId="3B503801" w14:textId="77777777" w:rsidR="004A49E4" w:rsidRDefault="004A49E4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tbl>
      <w:tblPr>
        <w:tblStyle w:val="SteckbriefText"/>
        <w:tblW w:w="9747" w:type="dxa"/>
        <w:tblCellSpacing w:w="6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42"/>
        <w:gridCol w:w="5966"/>
        <w:gridCol w:w="649"/>
        <w:gridCol w:w="1890"/>
      </w:tblGrid>
      <w:tr w:rsidR="00A22554" w:rsidRPr="00125D4B" w14:paraId="02C547D8" w14:textId="77777777" w:rsidTr="00606854">
        <w:trPr>
          <w:trHeight w:val="181"/>
          <w:tblCellSpacing w:w="60" w:type="dxa"/>
        </w:trPr>
        <w:tc>
          <w:tcPr>
            <w:tcW w:w="9507" w:type="dxa"/>
            <w:gridSpan w:val="4"/>
            <w:shd w:val="clear" w:color="auto" w:fill="auto"/>
          </w:tcPr>
          <w:p w14:paraId="0F814FE3" w14:textId="2F33D46B" w:rsidR="00A22554" w:rsidRDefault="00A22554" w:rsidP="00FB01D9">
            <w:pPr>
              <w:pStyle w:val="3berschrift"/>
              <w:rPr>
                <w:color w:val="000000"/>
                <w:sz w:val="21"/>
                <w:vertAlign w:val="superscript"/>
              </w:rPr>
            </w:pPr>
            <w:r w:rsidRPr="005E1694">
              <w:t xml:space="preserve">Beispiel </w:t>
            </w:r>
            <w:r w:rsidR="00C60F3C">
              <w:t xml:space="preserve">für eine </w:t>
            </w:r>
            <w:r w:rsidRPr="005E1694">
              <w:t>mögliche Zeitstruktur für einen 3 Stunden-Block</w:t>
            </w:r>
            <w:r>
              <w:t xml:space="preserve"> </w:t>
            </w:r>
            <w:r w:rsidR="00636DCA">
              <w:t>(inkl. Pausen)</w:t>
            </w:r>
          </w:p>
          <w:p w14:paraId="6EE282EA" w14:textId="77777777" w:rsidR="00A22554" w:rsidRPr="006C5065" w:rsidRDefault="00A22554" w:rsidP="00606854">
            <w:pPr>
              <w:pStyle w:val="3aMiniberschrift"/>
            </w:pPr>
          </w:p>
        </w:tc>
      </w:tr>
      <w:tr w:rsidR="000F24A3" w:rsidRPr="002D3340" w14:paraId="37AB2661" w14:textId="77777777" w:rsidTr="000F24A3">
        <w:trPr>
          <w:trHeight w:val="181"/>
          <w:tblCellSpacing w:w="60" w:type="dxa"/>
        </w:trPr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14:paraId="6561CE42" w14:textId="77777777" w:rsidR="005D30D7" w:rsidRPr="002D3340" w:rsidRDefault="005D30D7" w:rsidP="00606854">
            <w:pPr>
              <w:pStyle w:val="3aMiniberschrift"/>
              <w:rPr>
                <w:sz w:val="20"/>
              </w:rPr>
            </w:pPr>
            <w:r w:rsidRPr="002D3340">
              <w:rPr>
                <w:sz w:val="20"/>
              </w:rPr>
              <w:t>Zeit</w:t>
            </w:r>
          </w:p>
        </w:tc>
        <w:tc>
          <w:tcPr>
            <w:tcW w:w="5846" w:type="dxa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4329AEF" w14:textId="355CD5E3" w:rsidR="005D30D7" w:rsidRPr="002D3340" w:rsidRDefault="005D30D7" w:rsidP="00606854">
            <w:pPr>
              <w:pStyle w:val="3aMiniberschrift"/>
              <w:rPr>
                <w:sz w:val="20"/>
              </w:rPr>
            </w:pPr>
            <w:r w:rsidRPr="002D3340">
              <w:rPr>
                <w:sz w:val="20"/>
              </w:rPr>
              <w:t>Phase/Aktivität</w:t>
            </w: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14:paraId="546EB550" w14:textId="466EB097" w:rsidR="005D30D7" w:rsidRPr="002D3340" w:rsidRDefault="005D30D7" w:rsidP="00606854">
            <w:pPr>
              <w:pStyle w:val="3aMiniberschrift"/>
              <w:rPr>
                <w:sz w:val="20"/>
              </w:rPr>
            </w:pPr>
            <w:r w:rsidRPr="002D3340">
              <w:rPr>
                <w:sz w:val="20"/>
              </w:rPr>
              <w:t>SF/M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362EACE2" w14:textId="1115D3CB" w:rsidR="005D30D7" w:rsidRPr="002D3340" w:rsidRDefault="005D30D7" w:rsidP="00606854">
            <w:pPr>
              <w:pStyle w:val="3aMiniberschrift"/>
              <w:rPr>
                <w:sz w:val="20"/>
              </w:rPr>
            </w:pPr>
            <w:r w:rsidRPr="002D3340">
              <w:rPr>
                <w:sz w:val="20"/>
              </w:rPr>
              <w:t>Material/Medien</w:t>
            </w:r>
          </w:p>
        </w:tc>
      </w:tr>
      <w:tr w:rsidR="000F24A3" w:rsidRPr="00125D4B" w14:paraId="7F8DF0F5" w14:textId="77777777" w:rsidTr="00013E3B">
        <w:trPr>
          <w:trHeight w:val="669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3BEC2DA2" w14:textId="0E93A2D0" w:rsidR="005D30D7" w:rsidRPr="001E15C5" w:rsidRDefault="00FF211A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30</w:t>
            </w:r>
            <w:r w:rsidR="001376F7">
              <w:rPr>
                <w:b w:val="0"/>
              </w:rPr>
              <w:t xml:space="preserve"> </w:t>
            </w:r>
            <w:r w:rsidR="002D3340">
              <w:rPr>
                <w:b w:val="0"/>
              </w:rPr>
              <w:t>M</w:t>
            </w:r>
            <w:r w:rsidR="005D30D7" w:rsidRPr="001E15C5">
              <w:rPr>
                <w:b w:val="0"/>
              </w:rPr>
              <w:t>in</w:t>
            </w:r>
            <w:r w:rsidR="002D3340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E9F63E2" w14:textId="75DDBAF5" w:rsidR="005D30D7" w:rsidRPr="007904F9" w:rsidRDefault="005947BD" w:rsidP="00606854">
            <w:pPr>
              <w:pStyle w:val="4Flietext"/>
              <w:framePr w:hSpace="0" w:wrap="auto" w:vAnchor="margin" w:hAnchor="text" w:xAlign="left" w:yAlign="inline"/>
            </w:pPr>
            <w:r>
              <w:rPr>
                <w:b/>
              </w:rPr>
              <w:t xml:space="preserve">Begrüßung und </w:t>
            </w:r>
            <w:r w:rsidR="001376F7">
              <w:rPr>
                <w:b/>
              </w:rPr>
              <w:t xml:space="preserve">Reflexion </w:t>
            </w:r>
            <w:r w:rsidRPr="007904F9">
              <w:t>(</w:t>
            </w:r>
            <w:r w:rsidR="00636DCA" w:rsidRPr="007904F9">
              <w:t>Distanz</w:t>
            </w:r>
            <w:r w:rsidRPr="007904F9">
              <w:t>p</w:t>
            </w:r>
            <w:r w:rsidR="00783749" w:rsidRPr="007904F9">
              <w:t>ha</w:t>
            </w:r>
            <w:r w:rsidRPr="007904F9">
              <w:t>se 3)</w:t>
            </w:r>
          </w:p>
          <w:p w14:paraId="2DD5255C" w14:textId="78B4A7F6" w:rsidR="001376F7" w:rsidRPr="00DA5B6B" w:rsidRDefault="00DA5B6B" w:rsidP="007904F9">
            <w:pPr>
              <w:pStyle w:val="4Flietext"/>
              <w:framePr w:wrap="around"/>
            </w:pPr>
            <w:r>
              <w:t xml:space="preserve">PLG, Unterrichtserprobung, </w:t>
            </w:r>
            <w:r w:rsidRPr="007904F9">
              <w:t>fachdida</w:t>
            </w:r>
            <w:r w:rsidR="00636DCA" w:rsidRPr="007904F9">
              <w:t>k</w:t>
            </w:r>
            <w:r w:rsidRPr="007904F9">
              <w:t>t</w:t>
            </w:r>
            <w:r w:rsidR="00636DCA" w:rsidRPr="007904F9">
              <w:t>ische</w:t>
            </w:r>
            <w:r>
              <w:t xml:space="preserve"> Analyse der Lösungen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6507111D" w14:textId="77777777" w:rsidR="005D30D7" w:rsidRPr="00125D4B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5B286571" w14:textId="77777777" w:rsidR="001376F7" w:rsidRDefault="001376F7" w:rsidP="00606854">
            <w:pPr>
              <w:pStyle w:val="4Flietext"/>
              <w:framePr w:hSpace="0" w:wrap="auto" w:vAnchor="margin" w:hAnchor="text" w:xAlign="left" w:yAlign="inline"/>
            </w:pPr>
            <w:r>
              <w:t>Beamer, Laptop, Pinnwand</w:t>
            </w:r>
          </w:p>
          <w:p w14:paraId="23D8D065" w14:textId="21A088BB" w:rsidR="001376F7" w:rsidRDefault="001376F7" w:rsidP="00606854">
            <w:pPr>
              <w:pStyle w:val="4Flietext"/>
              <w:framePr w:hSpace="0" w:wrap="auto" w:vAnchor="margin" w:hAnchor="text" w:xAlign="left" w:yAlign="inline"/>
            </w:pPr>
            <w:r>
              <w:t>Materialien der TN</w:t>
            </w:r>
          </w:p>
          <w:p w14:paraId="4FBF78E6" w14:textId="7B6CCB10" w:rsidR="001376F7" w:rsidRPr="00125D4B" w:rsidRDefault="001376F7" w:rsidP="00844165">
            <w:pPr>
              <w:pStyle w:val="4Flietext"/>
              <w:framePr w:hSpace="0" w:wrap="auto" w:vAnchor="margin" w:hAnchor="text" w:xAlign="left" w:yAlign="inline"/>
            </w:pPr>
            <w:r>
              <w:t xml:space="preserve">Folien </w:t>
            </w:r>
            <w:r w:rsidR="00311733">
              <w:t>6–</w:t>
            </w:r>
            <w:r w:rsidR="00844165">
              <w:t>1</w:t>
            </w:r>
            <w:r w:rsidR="00DA5B6B">
              <w:t>2</w:t>
            </w:r>
          </w:p>
        </w:tc>
      </w:tr>
      <w:tr w:rsidR="000F24A3" w:rsidRPr="00125D4B" w14:paraId="38F9E7AE" w14:textId="77777777" w:rsidTr="00013E3B">
        <w:trPr>
          <w:trHeight w:val="301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0361EC4E" w14:textId="32C3618D" w:rsidR="005D30D7" w:rsidRPr="001E15C5" w:rsidRDefault="00633646" w:rsidP="00633646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30 </w:t>
            </w:r>
            <w:r w:rsidR="002D3340">
              <w:rPr>
                <w:b w:val="0"/>
              </w:rPr>
              <w:t>M</w:t>
            </w:r>
            <w:r w:rsidR="005D30D7">
              <w:rPr>
                <w:b w:val="0"/>
              </w:rPr>
              <w:t>in</w:t>
            </w:r>
            <w:r w:rsidR="002D3340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EB32534" w14:textId="77777777" w:rsidR="00926C39" w:rsidRPr="00926C39" w:rsidRDefault="00983EDC" w:rsidP="00961238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rPr>
                <w:b/>
              </w:rPr>
            </w:pPr>
            <w:r w:rsidRPr="00926C39">
              <w:rPr>
                <w:b/>
              </w:rPr>
              <w:t>Input</w:t>
            </w:r>
            <w:r w:rsidR="00961238">
              <w:rPr>
                <w:b/>
              </w:rPr>
              <w:t xml:space="preserve"> </w:t>
            </w:r>
            <w:r w:rsidR="00454A36">
              <w:rPr>
                <w:b/>
              </w:rPr>
              <w:t>und Übung</w:t>
            </w:r>
            <w:r w:rsidRPr="00926C39">
              <w:rPr>
                <w:b/>
              </w:rPr>
              <w:t>:</w:t>
            </w:r>
            <w:r w:rsidR="00926C39" w:rsidRPr="00926C39">
              <w:rPr>
                <w:b/>
              </w:rPr>
              <w:t xml:space="preserve"> </w:t>
            </w:r>
            <w:r w:rsidRPr="00926C39">
              <w:rPr>
                <w:b/>
              </w:rPr>
              <w:t>Texterschließung</w:t>
            </w:r>
          </w:p>
          <w:p w14:paraId="19A736ED" w14:textId="77777777" w:rsidR="00454A36" w:rsidRDefault="00454A36" w:rsidP="00454A36">
            <w:pPr>
              <w:pStyle w:val="5Aufzhlung"/>
              <w:framePr w:hSpace="0" w:wrap="auto" w:vAnchor="margin" w:hAnchor="text" w:xAlign="left" w:yAlign="inline"/>
            </w:pPr>
            <w:r w:rsidRPr="00DA2672">
              <w:t>Begriffsklärung</w:t>
            </w:r>
          </w:p>
          <w:p w14:paraId="3EF2DF51" w14:textId="77777777" w:rsidR="00454A36" w:rsidRDefault="00DA5B6B" w:rsidP="00454A36">
            <w:pPr>
              <w:pStyle w:val="5Aufzhlung"/>
              <w:framePr w:hSpace="0" w:wrap="auto" w:vAnchor="margin" w:hAnchor="text" w:xAlign="left" w:yAlign="inline"/>
            </w:pPr>
            <w:r>
              <w:t xml:space="preserve">Texterschließungshilfen und </w:t>
            </w:r>
            <w:r w:rsidR="00454A36">
              <w:t>Texterschließungsstrategien</w:t>
            </w:r>
          </w:p>
          <w:p w14:paraId="419A8A14" w14:textId="19FE8647" w:rsidR="00DC63AB" w:rsidRPr="007904F9" w:rsidRDefault="007D74A3" w:rsidP="007904F9">
            <w:pPr>
              <w:pStyle w:val="5Aufzhlung"/>
              <w:framePr w:hSpace="0" w:wrap="auto" w:vAnchor="margin" w:hAnchor="text" w:xAlign="left" w:yAlign="inline"/>
            </w:pPr>
            <w:r w:rsidRPr="00DA2672">
              <w:t>Übung zum Realisieren anhand</w:t>
            </w:r>
            <w:r>
              <w:t xml:space="preserve"> von</w:t>
            </w:r>
            <w:r w:rsidRPr="00DA2672">
              <w:t xml:space="preserve"> Aufgaben</w:t>
            </w:r>
            <w:r>
              <w:t xml:space="preserve"> 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60AFF9D4" w14:textId="77777777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5A102EAD" w14:textId="3D6A4A08" w:rsidR="005D30D7" w:rsidRDefault="00926C39" w:rsidP="00844165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Folien </w:t>
            </w:r>
            <w:r w:rsidR="00311733">
              <w:rPr>
                <w:rFonts w:eastAsia="Arial"/>
              </w:rPr>
              <w:t>13–</w:t>
            </w:r>
            <w:r w:rsidR="007D74A3">
              <w:rPr>
                <w:rFonts w:eastAsia="Arial"/>
              </w:rPr>
              <w:t>29</w:t>
            </w:r>
          </w:p>
          <w:p w14:paraId="39DB9BEF" w14:textId="77777777" w:rsidR="007D74A3" w:rsidRPr="002561A3" w:rsidRDefault="007D74A3" w:rsidP="00844165">
            <w:pPr>
              <w:pStyle w:val="4Flietext"/>
              <w:framePr w:wrap="around"/>
              <w:rPr>
                <w:rFonts w:eastAsia="Arial"/>
                <w:i/>
                <w:sz w:val="16"/>
                <w:szCs w:val="16"/>
              </w:rPr>
            </w:pPr>
            <w:r w:rsidRPr="00DA2672">
              <w:t>Aufgaben</w:t>
            </w:r>
            <w:r>
              <w:t xml:space="preserve"> von Renate Rasch</w:t>
            </w:r>
          </w:p>
        </w:tc>
      </w:tr>
      <w:tr w:rsidR="000F24A3" w:rsidRPr="00125D4B" w14:paraId="3A41E6F3" w14:textId="77777777" w:rsidTr="00013E3B">
        <w:trPr>
          <w:trHeight w:val="75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6639DF77" w14:textId="77DBBD70" w:rsidR="005D30D7" w:rsidRPr="001376F7" w:rsidRDefault="00633646" w:rsidP="00633646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30 </w:t>
            </w:r>
            <w:r w:rsidR="002D3340">
              <w:rPr>
                <w:b w:val="0"/>
              </w:rPr>
              <w:t>M</w:t>
            </w:r>
            <w:r w:rsidR="005D30D7" w:rsidRPr="001376F7">
              <w:rPr>
                <w:b w:val="0"/>
              </w:rPr>
              <w:t>in</w:t>
            </w:r>
            <w:r w:rsidR="002D3340">
              <w:rPr>
                <w:b w:val="0"/>
              </w:rPr>
              <w:t>.</w:t>
            </w:r>
          </w:p>
          <w:p w14:paraId="553ECF97" w14:textId="77777777" w:rsidR="00A508D0" w:rsidRPr="00A508D0" w:rsidRDefault="00A508D0" w:rsidP="00606854">
            <w:pPr>
              <w:pStyle w:val="3aMiniberschrift"/>
              <w:rPr>
                <w:b w:val="0"/>
                <w:color w:val="FF0000"/>
              </w:rPr>
            </w:pP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5AEBB41" w14:textId="77777777" w:rsidR="00DA2672" w:rsidRPr="00DA2672" w:rsidRDefault="00DA2672" w:rsidP="00961238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rPr>
                <w:b/>
              </w:rPr>
            </w:pPr>
            <w:r w:rsidRPr="00DA2672">
              <w:rPr>
                <w:b/>
              </w:rPr>
              <w:t>Input</w:t>
            </w:r>
            <w:r w:rsidR="00961238">
              <w:rPr>
                <w:b/>
              </w:rPr>
              <w:t xml:space="preserve"> </w:t>
            </w:r>
            <w:r w:rsidR="00844165">
              <w:rPr>
                <w:b/>
              </w:rPr>
              <w:t>und Übung</w:t>
            </w:r>
            <w:r w:rsidRPr="00DA2672">
              <w:rPr>
                <w:b/>
              </w:rPr>
              <w:t xml:space="preserve">: </w:t>
            </w:r>
            <w:r w:rsidR="00844165">
              <w:rPr>
                <w:b/>
              </w:rPr>
              <w:t>G</w:t>
            </w:r>
            <w:r w:rsidRPr="00DA2672">
              <w:rPr>
                <w:b/>
              </w:rPr>
              <w:t>rafische Bearbeitungshilfen</w:t>
            </w:r>
          </w:p>
          <w:p w14:paraId="7B529FED" w14:textId="77777777" w:rsidR="00DA2672" w:rsidRDefault="00DA2672" w:rsidP="00DA2672">
            <w:pPr>
              <w:pStyle w:val="5Aufzhlung"/>
              <w:framePr w:hSpace="0" w:wrap="auto" w:vAnchor="margin" w:hAnchor="text" w:xAlign="left" w:yAlign="inline"/>
            </w:pPr>
            <w:r w:rsidRPr="00DA2672">
              <w:t>Begriffsklärung</w:t>
            </w:r>
          </w:p>
          <w:p w14:paraId="2BCE35D8" w14:textId="77777777" w:rsidR="00DA2672" w:rsidRDefault="00DA2672" w:rsidP="00DA2672">
            <w:pPr>
              <w:pStyle w:val="5Aufzhlung"/>
              <w:framePr w:hSpace="0" w:wrap="auto" w:vAnchor="margin" w:hAnchor="text" w:xAlign="left" w:yAlign="inline"/>
            </w:pPr>
            <w:r w:rsidRPr="00DA2672">
              <w:t>Arten von Bearbeitungshilfen</w:t>
            </w:r>
          </w:p>
          <w:p w14:paraId="5AD0C08C" w14:textId="206673A3" w:rsidR="00DC63AB" w:rsidRPr="00125D4B" w:rsidRDefault="00DA2672" w:rsidP="007904F9">
            <w:pPr>
              <w:pStyle w:val="5Aufzhlung"/>
              <w:framePr w:hSpace="0" w:wrap="auto" w:vAnchor="margin" w:hAnchor="text" w:xAlign="left" w:yAlign="inline"/>
            </w:pPr>
            <w:r w:rsidRPr="00DA2672">
              <w:t>Übung zum Realisieren anhand</w:t>
            </w:r>
            <w:r w:rsidR="007D74A3">
              <w:t xml:space="preserve"> von</w:t>
            </w:r>
            <w:r w:rsidRPr="00DA2672">
              <w:t xml:space="preserve"> Aufgaben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15779CA5" w14:textId="75A778E4" w:rsidR="002561A3" w:rsidRDefault="005D30D7" w:rsidP="002561A3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 w:rsidR="00844165">
              <w:t>/</w:t>
            </w:r>
            <w:r w:rsidR="007904F9">
              <w:t xml:space="preserve"> </w:t>
            </w:r>
            <w:r w:rsidR="00844165">
              <w:t>GA</w:t>
            </w:r>
          </w:p>
          <w:p w14:paraId="28C11AFE" w14:textId="77777777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13354CD5" w14:textId="096883DF" w:rsidR="002561A3" w:rsidRDefault="002561A3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Folien </w:t>
            </w:r>
            <w:r w:rsidR="00311733">
              <w:rPr>
                <w:rFonts w:eastAsia="Arial"/>
              </w:rPr>
              <w:t>30–</w:t>
            </w:r>
            <w:r w:rsidR="007D74A3">
              <w:rPr>
                <w:rFonts w:eastAsia="Arial"/>
              </w:rPr>
              <w:t>37</w:t>
            </w:r>
          </w:p>
          <w:p w14:paraId="7ED13096" w14:textId="77777777" w:rsidR="005D30D7" w:rsidRPr="00241056" w:rsidRDefault="007D74A3" w:rsidP="00DA2672">
            <w:pPr>
              <w:pStyle w:val="4Flietext"/>
              <w:framePr w:hSpace="0" w:wrap="auto" w:vAnchor="margin" w:hAnchor="text" w:xAlign="left" w:yAlign="inline"/>
            </w:pPr>
            <w:r w:rsidRPr="00DA2672">
              <w:t>Aufgaben</w:t>
            </w:r>
            <w:r>
              <w:t xml:space="preserve"> von Renate Rasch</w:t>
            </w:r>
          </w:p>
        </w:tc>
      </w:tr>
      <w:tr w:rsidR="000F24A3" w:rsidRPr="00125D4B" w14:paraId="553E57E7" w14:textId="77777777" w:rsidTr="00013E3B">
        <w:trPr>
          <w:trHeight w:val="308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0D45C6E1" w14:textId="52D4C4EE" w:rsidR="005D30D7" w:rsidRDefault="00633646" w:rsidP="00633646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30 </w:t>
            </w:r>
            <w:r w:rsidR="0036464F">
              <w:rPr>
                <w:b w:val="0"/>
              </w:rPr>
              <w:t>M</w:t>
            </w:r>
            <w:r w:rsidR="005D30D7">
              <w:rPr>
                <w:b w:val="0"/>
              </w:rPr>
              <w:t>in</w:t>
            </w:r>
            <w:r w:rsidR="0036464F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8EB6DF8" w14:textId="77777777" w:rsidR="00DA2672" w:rsidRPr="00DA2672" w:rsidRDefault="00961238" w:rsidP="00961238">
            <w:pPr>
              <w:pStyle w:val="5Aufzhlung"/>
              <w:framePr w:hSpace="0" w:wrap="auto" w:vAnchor="margin" w:hAnchor="text" w:xAlign="left" w:yAlign="inline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Input </w:t>
            </w:r>
            <w:r w:rsidR="00844165">
              <w:rPr>
                <w:b/>
              </w:rPr>
              <w:t>und Übung</w:t>
            </w:r>
            <w:r>
              <w:rPr>
                <w:b/>
              </w:rPr>
              <w:t>:</w:t>
            </w:r>
            <w:r w:rsidR="00DA2672" w:rsidRPr="00DA2672">
              <w:rPr>
                <w:b/>
              </w:rPr>
              <w:t xml:space="preserve"> Zum Differenzieren beim Lösen von Sachaufgaben</w:t>
            </w:r>
          </w:p>
          <w:p w14:paraId="0AE6A0D5" w14:textId="77777777" w:rsidR="00DA2672" w:rsidRDefault="00DA2672" w:rsidP="00DA2672">
            <w:pPr>
              <w:pStyle w:val="5Aufzhlung"/>
              <w:framePr w:hSpace="0" w:wrap="auto" w:vAnchor="margin" w:hAnchor="text" w:xAlign="left" w:yAlign="inline"/>
            </w:pPr>
            <w:r w:rsidRPr="00DA2672">
              <w:t>Differenzierungsmodelle in der Literatur</w:t>
            </w:r>
          </w:p>
          <w:p w14:paraId="4CB4C7C5" w14:textId="77777777" w:rsidR="00DA2672" w:rsidRDefault="00DA2672" w:rsidP="00DA2672">
            <w:pPr>
              <w:pStyle w:val="5Aufzhlung"/>
              <w:framePr w:hSpace="0" w:wrap="auto" w:vAnchor="margin" w:hAnchor="text" w:xAlign="left" w:yAlign="inline"/>
            </w:pPr>
            <w:r w:rsidRPr="00DA2672">
              <w:t>Diskussion zu Veränderungen von Beispielaufgaben</w:t>
            </w:r>
          </w:p>
          <w:p w14:paraId="6FC64ECF" w14:textId="5D5217A2" w:rsidR="00DC63AB" w:rsidRPr="00F45241" w:rsidRDefault="00DA2672" w:rsidP="007904F9">
            <w:pPr>
              <w:pStyle w:val="5Aufzhlung"/>
              <w:framePr w:hSpace="0" w:wrap="auto" w:vAnchor="margin" w:hAnchor="text" w:xAlign="left" w:yAlign="inline"/>
            </w:pPr>
            <w:r w:rsidRPr="00DA2672">
              <w:t>Diskussion zum Begriff der Sachrechenkompetenz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25CA5602" w14:textId="34D5BA7D" w:rsidR="005D30D7" w:rsidRDefault="00F45241" w:rsidP="00606854">
            <w:pPr>
              <w:pStyle w:val="4Flietext"/>
              <w:framePr w:hSpace="0" w:wrap="auto" w:vAnchor="margin" w:hAnchor="text" w:xAlign="left" w:yAlign="inline"/>
            </w:pPr>
            <w:r>
              <w:t>PL/</w:t>
            </w:r>
            <w:r w:rsidR="007904F9">
              <w:t xml:space="preserve"> </w:t>
            </w:r>
            <w:r w:rsidR="005D30D7">
              <w:t>GA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5E52597A" w14:textId="0362EA04" w:rsidR="00F45241" w:rsidRDefault="00DA2672" w:rsidP="00F45241">
            <w:pPr>
              <w:pStyle w:val="4Flietext"/>
              <w:framePr w:wrap="around"/>
            </w:pPr>
            <w:r>
              <w:t xml:space="preserve">Folie </w:t>
            </w:r>
            <w:r w:rsidR="00311733">
              <w:t>38–</w:t>
            </w:r>
            <w:r w:rsidR="007D74A3">
              <w:t>43</w:t>
            </w:r>
          </w:p>
          <w:p w14:paraId="183F737E" w14:textId="77777777" w:rsidR="008D1300" w:rsidRPr="00C86F6F" w:rsidRDefault="008D1300" w:rsidP="00F45241">
            <w:pPr>
              <w:pStyle w:val="4Flietext"/>
              <w:framePr w:wrap="around"/>
              <w:rPr>
                <w:color w:val="FF0000"/>
                <w:sz w:val="16"/>
                <w:szCs w:val="16"/>
              </w:rPr>
            </w:pPr>
          </w:p>
        </w:tc>
      </w:tr>
      <w:tr w:rsidR="00844165" w:rsidRPr="00125D4B" w14:paraId="131B8AE2" w14:textId="77777777" w:rsidTr="00013E3B">
        <w:trPr>
          <w:trHeight w:val="398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53BF1C6C" w14:textId="7E1F270B" w:rsidR="00844165" w:rsidRDefault="00844165" w:rsidP="00633646">
            <w:pPr>
              <w:pStyle w:val="3aMiniberschrift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10 </w:t>
            </w:r>
            <w:r w:rsidR="0036464F">
              <w:rPr>
                <w:rFonts w:asciiTheme="minorHAnsi" w:hAnsiTheme="minorHAnsi"/>
                <w:b w:val="0"/>
              </w:rPr>
              <w:t>M</w:t>
            </w:r>
            <w:r>
              <w:rPr>
                <w:rFonts w:asciiTheme="minorHAnsi" w:hAnsiTheme="minorHAnsi"/>
                <w:b w:val="0"/>
              </w:rPr>
              <w:t>in</w:t>
            </w:r>
            <w:r w:rsidR="0036464F">
              <w:rPr>
                <w:rFonts w:asciiTheme="minorHAnsi" w:hAnsiTheme="minorHAnsi"/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5B23D77" w14:textId="77777777" w:rsidR="00A332FF" w:rsidRDefault="00A332FF" w:rsidP="00772372">
            <w:pPr>
              <w:pStyle w:val="4Flietext"/>
              <w:framePr w:hSpace="0" w:wrap="auto" w:vAnchor="margin" w:hAnchor="text" w:yAlign="inline"/>
              <w:rPr>
                <w:b/>
              </w:rPr>
            </w:pPr>
            <w:r>
              <w:rPr>
                <w:b/>
              </w:rPr>
              <w:t xml:space="preserve">Rückblick </w:t>
            </w:r>
          </w:p>
          <w:p w14:paraId="01ECDD18" w14:textId="77777777" w:rsidR="00A332FF" w:rsidRDefault="00844165" w:rsidP="00B553D1">
            <w:pPr>
              <w:pStyle w:val="5Aufzhlung"/>
              <w:framePr w:wrap="around"/>
            </w:pPr>
            <w:r w:rsidRPr="00A332FF">
              <w:t>Zusammenfassender Überblick zu</w:t>
            </w:r>
            <w:r>
              <w:t xml:space="preserve"> den Inhalten der Fortbildung, Links und Literaturhinweise</w:t>
            </w:r>
          </w:p>
          <w:p w14:paraId="202B33B0" w14:textId="6FB3E5CC" w:rsidR="007D74A3" w:rsidRPr="007904F9" w:rsidRDefault="00844165" w:rsidP="007904F9">
            <w:pPr>
              <w:pStyle w:val="5Aufzhlung"/>
              <w:framePr w:wrap="around"/>
              <w:rPr>
                <w:i/>
              </w:rPr>
            </w:pPr>
            <w:r w:rsidRPr="007D74A3">
              <w:rPr>
                <w:i/>
              </w:rPr>
              <w:t>Bezug zu K</w:t>
            </w:r>
            <w:r w:rsidR="007904F9">
              <w:rPr>
                <w:i/>
              </w:rPr>
              <w:t>MK-Bildungsstandards und landes</w:t>
            </w:r>
            <w:r w:rsidRPr="007904F9">
              <w:rPr>
                <w:i/>
              </w:rPr>
              <w:t>spezifischen Lehrplananforderunge</w:t>
            </w:r>
            <w:r w:rsidR="007D74A3" w:rsidRPr="007904F9">
              <w:rPr>
                <w:i/>
              </w:rPr>
              <w:t>n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346A989E" w14:textId="77777777" w:rsidR="00844165" w:rsidRDefault="00844165" w:rsidP="00606854">
            <w:pPr>
              <w:pStyle w:val="4Flietext"/>
              <w:framePr w:hSpace="0" w:wrap="auto" w:vAnchor="margin" w:hAnchor="text" w:xAlign="left" w:yAlign="inline"/>
            </w:pPr>
            <w:r>
              <w:rPr>
                <w:rFonts w:cs="Arial"/>
              </w:rPr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786DA948" w14:textId="735A97B0" w:rsidR="00844165" w:rsidRDefault="00844165" w:rsidP="00772372">
            <w:pPr>
              <w:pStyle w:val="4Flietext"/>
              <w:framePr w:hSpace="0" w:wrap="auto" w:vAnchor="margin" w:hAnchor="text" w:yAlign="inline"/>
            </w:pPr>
            <w:r>
              <w:t xml:space="preserve">Folie </w:t>
            </w:r>
            <w:r w:rsidR="007D74A3">
              <w:t>44</w:t>
            </w:r>
            <w:r w:rsidR="00311733">
              <w:t>–</w:t>
            </w:r>
            <w:r w:rsidR="007D74A3">
              <w:t>46</w:t>
            </w:r>
          </w:p>
          <w:p w14:paraId="22041EBA" w14:textId="77777777" w:rsidR="00844165" w:rsidRDefault="00844165" w:rsidP="00F45241">
            <w:pPr>
              <w:pStyle w:val="4Flietext"/>
              <w:framePr w:wrap="around"/>
            </w:pPr>
          </w:p>
        </w:tc>
      </w:tr>
      <w:tr w:rsidR="007D74A3" w:rsidRPr="00125D4B" w14:paraId="4FFDA8DB" w14:textId="77777777" w:rsidTr="000F24A3">
        <w:trPr>
          <w:trHeight w:val="39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22ABB441" w14:textId="5E061F41" w:rsidR="007D74A3" w:rsidRDefault="007D74A3" w:rsidP="00C0537D">
            <w:pPr>
              <w:pStyle w:val="3aMiniberschrift"/>
              <w:rPr>
                <w:b w:val="0"/>
              </w:rPr>
            </w:pPr>
            <w:r w:rsidRPr="00B515CA">
              <w:rPr>
                <w:rFonts w:asciiTheme="minorHAnsi" w:hAnsiTheme="minorHAnsi"/>
                <w:b w:val="0"/>
              </w:rPr>
              <w:t xml:space="preserve">10 </w:t>
            </w:r>
            <w:r w:rsidR="0036464F">
              <w:rPr>
                <w:rFonts w:asciiTheme="minorHAnsi" w:hAnsiTheme="minorHAnsi"/>
                <w:b w:val="0"/>
              </w:rPr>
              <w:t>M</w:t>
            </w:r>
            <w:r w:rsidRPr="00B515CA">
              <w:rPr>
                <w:rFonts w:asciiTheme="minorHAnsi" w:hAnsiTheme="minorHAnsi"/>
                <w:b w:val="0"/>
              </w:rPr>
              <w:t>in</w:t>
            </w:r>
            <w:r w:rsidR="0036464F">
              <w:rPr>
                <w:rFonts w:asciiTheme="minorHAnsi" w:hAnsiTheme="minorHAnsi"/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02EE546" w14:textId="5471AB41" w:rsidR="007D74A3" w:rsidRPr="00A332FF" w:rsidRDefault="007D74A3" w:rsidP="00C0537D">
            <w:pPr>
              <w:pStyle w:val="3aMiniberschrift"/>
              <w:rPr>
                <w:sz w:val="20"/>
              </w:rPr>
            </w:pPr>
            <w:r w:rsidRPr="00A332FF">
              <w:rPr>
                <w:sz w:val="20"/>
              </w:rPr>
              <w:t>Transfer – Zusammenarbeit mit anderen Mathe</w:t>
            </w:r>
            <w:r w:rsidR="0001370D">
              <w:rPr>
                <w:sz w:val="20"/>
              </w:rPr>
              <w:t>matikl</w:t>
            </w:r>
            <w:r w:rsidRPr="00A332FF">
              <w:rPr>
                <w:sz w:val="20"/>
              </w:rPr>
              <w:t>ehrenden (aus</w:t>
            </w:r>
            <w:r w:rsidR="00817A4B">
              <w:rPr>
                <w:sz w:val="20"/>
              </w:rPr>
              <w:t>-</w:t>
            </w:r>
            <w:r w:rsidRPr="00A332FF">
              <w:rPr>
                <w:sz w:val="20"/>
              </w:rPr>
              <w:t>)gestalten</w:t>
            </w:r>
          </w:p>
          <w:p w14:paraId="121E8919" w14:textId="12BC5609" w:rsidR="007D74A3" w:rsidRPr="00B515CA" w:rsidRDefault="007D74A3" w:rsidP="00B553D1">
            <w:pPr>
              <w:pStyle w:val="5Aufzhlung"/>
              <w:framePr w:wrap="around"/>
            </w:pPr>
            <w:r w:rsidRPr="00B515CA">
              <w:t>Reflexion</w:t>
            </w:r>
            <w:r>
              <w:t xml:space="preserve"> über die eigenen Rollen: Lernender</w:t>
            </w:r>
            <w:r w:rsidRPr="00B515CA">
              <w:t>/Lehrperson</w:t>
            </w:r>
          </w:p>
          <w:p w14:paraId="387E2F51" w14:textId="77777777" w:rsidR="007D74A3" w:rsidRPr="007D74A3" w:rsidRDefault="007D74A3" w:rsidP="00B553D1">
            <w:pPr>
              <w:pStyle w:val="5Aufzhlung"/>
              <w:framePr w:wrap="around"/>
            </w:pPr>
            <w:r w:rsidRPr="00B515CA">
              <w:t xml:space="preserve">Reflexion über die Arbeitsformen  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5BEA08D8" w14:textId="77777777" w:rsidR="007D74A3" w:rsidRDefault="007D74A3" w:rsidP="00C0537D">
            <w:pPr>
              <w:pStyle w:val="4Flietext"/>
              <w:framePr w:hSpace="0" w:wrap="auto" w:vAnchor="margin" w:hAnchor="text" w:xAlign="left" w:yAlign="inline"/>
            </w:pPr>
            <w:r>
              <w:rPr>
                <w:rFonts w:cs="Arial"/>
              </w:rPr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3C623F2E" w14:textId="77777777" w:rsidR="007D74A3" w:rsidRDefault="007D74A3" w:rsidP="00C0537D">
            <w:pPr>
              <w:pStyle w:val="4Flietext"/>
              <w:framePr w:hSpace="0" w:wrap="auto" w:vAnchor="margin" w:hAnchor="text" w:yAlign="inline"/>
            </w:pPr>
            <w:r>
              <w:t>Ab Folie 47</w:t>
            </w:r>
          </w:p>
          <w:p w14:paraId="201E9317" w14:textId="77777777" w:rsidR="007D74A3" w:rsidRDefault="007D74A3" w:rsidP="00C0537D">
            <w:pPr>
              <w:pStyle w:val="4Flietext"/>
              <w:framePr w:wrap="around"/>
              <w:rPr>
                <w:rFonts w:eastAsia="Arial"/>
              </w:rPr>
            </w:pPr>
            <w:r>
              <w:t>AB-Praxis-Arbeit PLG.doc</w:t>
            </w:r>
          </w:p>
        </w:tc>
      </w:tr>
      <w:tr w:rsidR="007D74A3" w:rsidRPr="00125D4B" w14:paraId="31AF8135" w14:textId="77777777" w:rsidTr="000F24A3">
        <w:trPr>
          <w:trHeight w:val="397"/>
          <w:tblCellSpacing w:w="60" w:type="dxa"/>
        </w:trPr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3A8AF" w14:textId="75969547" w:rsidR="007D74A3" w:rsidRDefault="007D74A3" w:rsidP="00E515E9">
            <w:pPr>
              <w:pStyle w:val="3aMiniberschrift"/>
              <w:rPr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10 </w:t>
            </w:r>
            <w:r w:rsidR="0036464F">
              <w:rPr>
                <w:rFonts w:asciiTheme="minorHAnsi" w:hAnsiTheme="minorHAnsi"/>
                <w:b w:val="0"/>
              </w:rPr>
              <w:t>M</w:t>
            </w:r>
            <w:r>
              <w:rPr>
                <w:rFonts w:asciiTheme="minorHAnsi" w:hAnsiTheme="minorHAnsi"/>
                <w:b w:val="0"/>
              </w:rPr>
              <w:t>in</w:t>
            </w:r>
            <w:r w:rsidR="0036464F">
              <w:rPr>
                <w:rFonts w:asciiTheme="minorHAnsi" w:hAnsiTheme="minorHAnsi"/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BAB1439" w14:textId="77777777" w:rsidR="007D74A3" w:rsidRPr="007F54B8" w:rsidRDefault="007D74A3" w:rsidP="00E515E9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>
              <w:t>Feedback und Abschluss der Fortbildung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5D338F98" w14:textId="77777777" w:rsidR="007D74A3" w:rsidRDefault="007D74A3" w:rsidP="00E515E9">
            <w:pPr>
              <w:pStyle w:val="4Flietext"/>
              <w:framePr w:hSpace="0" w:wrap="auto" w:vAnchor="margin" w:hAnchor="text" w:xAlign="left" w:yAlign="inline"/>
            </w:pPr>
            <w:r>
              <w:rPr>
                <w:rFonts w:cs="Arial"/>
              </w:rPr>
              <w:t>PL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189F99" w14:textId="77777777" w:rsidR="007D74A3" w:rsidRDefault="007D74A3" w:rsidP="00E515E9">
            <w:pPr>
              <w:pStyle w:val="4Flietext"/>
              <w:framePr w:wrap="around"/>
              <w:rPr>
                <w:rFonts w:eastAsia="Arial"/>
              </w:rPr>
            </w:pPr>
            <w:r w:rsidRPr="00B515CA">
              <w:t>Karten, Zielscheibe</w:t>
            </w:r>
          </w:p>
        </w:tc>
      </w:tr>
    </w:tbl>
    <w:p w14:paraId="34FC92D0" w14:textId="2D033A90" w:rsidR="00FB01D9" w:rsidRDefault="00FB01D9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p w14:paraId="30EC1812" w14:textId="0E7D554C" w:rsidR="001A4D96" w:rsidRDefault="00FB01D9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  <w:r>
        <w:rPr>
          <w:rFonts w:ascii="Calibri" w:eastAsia="Times New Roman" w:hAnsi="Calibri" w:cs="Times New Roman"/>
          <w:sz w:val="20"/>
          <w:szCs w:val="22"/>
        </w:rPr>
        <w:br w:type="page"/>
      </w:r>
    </w:p>
    <w:tbl>
      <w:tblPr>
        <w:tblStyle w:val="Tabellenraster"/>
        <w:tblW w:w="9878" w:type="dxa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8091"/>
      </w:tblGrid>
      <w:tr w:rsidR="00D14A16" w:rsidRPr="005E1694" w14:paraId="492B4907" w14:textId="77777777" w:rsidTr="00606854">
        <w:trPr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171E" w14:textId="77777777" w:rsidR="00A93A6E" w:rsidRPr="00C86F6F" w:rsidRDefault="00D14A16" w:rsidP="00FB01D9">
            <w:pPr>
              <w:pStyle w:val="3berschrift"/>
            </w:pPr>
            <w:r w:rsidRPr="00C86F6F">
              <w:lastRenderedPageBreak/>
              <w:t>Quelle</w:t>
            </w:r>
            <w:r w:rsidR="00A93A6E" w:rsidRPr="00C86F6F">
              <w:t xml:space="preserve"> und </w:t>
            </w:r>
          </w:p>
          <w:p w14:paraId="0418C6C6" w14:textId="77777777" w:rsidR="00A93A6E" w:rsidRPr="00C86F6F" w:rsidRDefault="00A93A6E" w:rsidP="00FB01D9">
            <w:pPr>
              <w:pStyle w:val="3berschrift"/>
            </w:pPr>
            <w:r w:rsidRPr="00C86F6F">
              <w:t>Nutzungsrechte</w:t>
            </w:r>
          </w:p>
          <w:p w14:paraId="458E4A7C" w14:textId="77777777" w:rsidR="00D14A16" w:rsidRPr="00561758" w:rsidRDefault="00606854" w:rsidP="00FB01D9">
            <w:pPr>
              <w:pStyle w:val="3berschrift"/>
            </w:pPr>
            <w:r w:rsidRPr="00AB12D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E8A89D6" wp14:editId="63D6A62A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457E" w14:textId="0AF7EC81" w:rsidR="00D14A16" w:rsidRDefault="00A93A6E" w:rsidP="0092308A">
            <w:pPr>
              <w:pStyle w:val="4Flietext"/>
              <w:framePr w:wrap="around"/>
              <w:jc w:val="both"/>
            </w:pPr>
            <w:r>
              <w:t>Dieser Baustein</w:t>
            </w:r>
            <w:r w:rsidR="00D14A16">
              <w:t xml:space="preserve"> wurde in Kooperation mit allen </w:t>
            </w:r>
            <w:r>
              <w:t>oben genannten Autori</w:t>
            </w:r>
            <w:r w:rsidR="00D14A16">
              <w:t>nnen</w:t>
            </w:r>
            <w:r>
              <w:t xml:space="preserve"> und Autoren</w:t>
            </w:r>
            <w:r w:rsidR="00D14A16">
              <w:t xml:space="preserve"> für das Deutsche Zentrum für Lehrerbildung Mathematik (DZLM) konzipiert. </w:t>
            </w:r>
            <w:r w:rsidR="00A67222">
              <w:t>Er</w:t>
            </w:r>
            <w:r w:rsidR="00D14A16">
              <w:t xml:space="preserve"> kann, soweit nicht anderweitig gekennzeichnet, unter der </w:t>
            </w:r>
            <w:r w:rsidR="00D14A16" w:rsidRPr="00F4094D">
              <w:rPr>
                <w:b/>
              </w:rPr>
              <w:t>Creative Commons Lizenz BY-SA: Namensnennung – Weitergabe unter gleichen Bedingungen 4.0 International</w:t>
            </w:r>
            <w:r w:rsidR="00D14A16">
              <w:t xml:space="preserve"> weiterverwendet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11" w:history="1">
              <w:r w:rsidR="00D14A16" w:rsidRPr="00420971">
                <w:rPr>
                  <w:rStyle w:val="Hyperlink"/>
                </w:rPr>
                <w:t>https://creativecommons.org/licenses/</w:t>
              </w:r>
            </w:hyperlink>
            <w:r w:rsidR="00D14A16">
              <w:t>).</w:t>
            </w:r>
          </w:p>
          <w:p w14:paraId="7D92F9CA" w14:textId="77777777" w:rsidR="00D14A16" w:rsidRDefault="00D14A16" w:rsidP="0092308A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 xml:space="preserve"> </w:t>
            </w:r>
          </w:p>
          <w:p w14:paraId="0A85C6E0" w14:textId="77777777" w:rsidR="00D14A16" w:rsidRPr="00561758" w:rsidRDefault="00D14A16" w:rsidP="0092308A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>Bildnachweise und Zitatquellen finden sich auf den jeweiligen Folien bzw. Zusatzmaterialien.</w:t>
            </w:r>
          </w:p>
        </w:tc>
      </w:tr>
      <w:tr w:rsidR="00D14A16" w:rsidRPr="005E1694" w14:paraId="346C2FAA" w14:textId="77777777" w:rsidTr="00606854">
        <w:trPr>
          <w:trHeight w:val="540"/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8097" w14:textId="2EA4962A" w:rsidR="00D14A16" w:rsidRPr="00C86F6F" w:rsidRDefault="00D14A16" w:rsidP="00FB01D9">
            <w:pPr>
              <w:pStyle w:val="3berschrift"/>
            </w:pPr>
            <w:r w:rsidRPr="00C86F6F">
              <w:t>Literaturbezug</w:t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CA4FC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Bongartz, T. &amp; Verboom, L. (Hrsg.) (2007). Fundgrube Sachrechnen. Unterrichtsideen, Beispiele und methodische Anregungen für das 1. bis 4. Schuljahr. Berlin: Cornelsen. </w:t>
            </w:r>
          </w:p>
          <w:p w14:paraId="55F211C4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 w:rsidRPr="00D55E28">
              <w:t>Blum, W. (1985). Anwendungsorientierter Mathematikunterricht in der didaktischen Diskussion. In: Mathematische Semesterberichte, Jg. 32, H. 2, S. 195-232</w:t>
            </w:r>
            <w:r>
              <w:t xml:space="preserve">. </w:t>
            </w:r>
          </w:p>
          <w:p w14:paraId="42A06B36" w14:textId="77777777" w:rsidR="00A87317" w:rsidRPr="00D55E28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Blum, W.; Leiß, D. (2005). Modellieren im Unterricht mit der "Tanken"-Aufgabe. </w:t>
            </w:r>
            <w:r w:rsidRPr="006A1BB1">
              <w:t xml:space="preserve">Gefälligkeitsübersetzung: </w:t>
            </w:r>
            <w:proofErr w:type="spellStart"/>
            <w:r w:rsidRPr="006A1BB1">
              <w:t>Mathematical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model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building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with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the</w:t>
            </w:r>
            <w:proofErr w:type="spellEnd"/>
            <w:r w:rsidRPr="006A1BB1">
              <w:t xml:space="preserve"> "</w:t>
            </w:r>
            <w:proofErr w:type="spellStart"/>
            <w:r w:rsidRPr="006A1BB1">
              <w:t>refuelling</w:t>
            </w:r>
            <w:proofErr w:type="spellEnd"/>
            <w:r w:rsidRPr="006A1BB1">
              <w:t xml:space="preserve">"-problem. </w:t>
            </w:r>
            <w:r>
              <w:t xml:space="preserve">In: Mathematik lehren, 128, S. 18-21.  </w:t>
            </w:r>
          </w:p>
          <w:p w14:paraId="1F3DDCBF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Düll, K. (2009). Sachrechnen in der Grundschule. Kinder stellen sich Aufgaben dar, 1.–4. Schuljahr.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234A54F8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(2003). Didaktik des Sachrechnens in der Grundschule. Heidelberg, Berlin: Spektrum. </w:t>
            </w:r>
          </w:p>
          <w:p w14:paraId="75AA6FCE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&amp; Ruwisch, S. (2010). Didaktik des Sachrechnens in der Grundschule. Heidelberg: Spektrum. </w:t>
            </w:r>
          </w:p>
          <w:p w14:paraId="26901724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Fricke, A. (1987). Sachrechnen: das Lösen angewandter Aufgaben. Klett. </w:t>
            </w:r>
          </w:p>
          <w:p w14:paraId="00D489BD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 w:rsidRPr="00817F02">
              <w:t>Grassmann, M.; Eichler, K. P.; Mirwald, E.; Nitsch, B. (2010). Mathematikunterricht. Hohengehren: Schneider.</w:t>
            </w:r>
          </w:p>
          <w:p w14:paraId="74B4B9F9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>Graumann, G. 1983). Wesen und Aufgaben der Mathematikdidaktik und ihre Bedeutung in der Gesellschaft. In: Zentralblatt für Didaktik der Mathematik (ZDM), 5, S. 241-251.</w:t>
            </w:r>
          </w:p>
          <w:p w14:paraId="544F8D01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proofErr w:type="spellStart"/>
            <w:r>
              <w:t>Lewe</w:t>
            </w:r>
            <w:proofErr w:type="spellEnd"/>
            <w:r>
              <w:t>, H. (2001). Sachsituationen meistern. Grundschulmagazin, 78, S. 11.</w:t>
            </w:r>
          </w:p>
          <w:p w14:paraId="0AE13503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>Müller, G. N. &amp;</w:t>
            </w:r>
            <w:r w:rsidRPr="00D55E28">
              <w:t xml:space="preserve"> Wittmann, E. Chr. (1984). Der Mathematikunterricht in der Primarstufe. Ziel, Inhalte, Prinzipien, Beispiel. Wiesbaden: Vieweg</w:t>
            </w:r>
            <w:r>
              <w:t xml:space="preserve">. </w:t>
            </w:r>
          </w:p>
          <w:p w14:paraId="7CBB58CD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  <w:ind w:left="0" w:firstLine="0"/>
            </w:pPr>
            <w:r>
              <w:t xml:space="preserve">Maier, H. (1970). Didaktik der Mathematik 1-9, </w:t>
            </w:r>
            <w:proofErr w:type="spellStart"/>
            <w:r>
              <w:t>Donauworth</w:t>
            </w:r>
            <w:proofErr w:type="spellEnd"/>
            <w:r>
              <w:t xml:space="preserve">. </w:t>
            </w:r>
          </w:p>
          <w:p w14:paraId="3A4AB0D3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 xml:space="preserve">Maier, H. (1975). Vom Sachrechnen zur sachbezogenen Mathematik. In: Pädagogische </w:t>
            </w:r>
            <w:proofErr w:type="gramStart"/>
            <w:r>
              <w:t xml:space="preserve">Beiträge,   </w:t>
            </w:r>
            <w:proofErr w:type="gramEnd"/>
            <w:r>
              <w:t xml:space="preserve">27, S. 474-480. </w:t>
            </w:r>
          </w:p>
          <w:p w14:paraId="5E6E6E56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Maier, H. &amp; Schubert, A. (1978). Sachrechnen: empirische Befunde, didaktische Analysen, methodische Anregungen. München: </w:t>
            </w:r>
            <w:proofErr w:type="spellStart"/>
            <w:r>
              <w:t>Ehrenwirth</w:t>
            </w:r>
            <w:proofErr w:type="spellEnd"/>
            <w:r>
              <w:t xml:space="preserve"> </w:t>
            </w:r>
          </w:p>
          <w:p w14:paraId="4D8BB15B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Naudersch, H. (1994). Sachrechnen in der Grundschule.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031FE147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>Radatz, H. &amp; Schipper, W. (1983). Handbuch für den Mathematikunterricht an Grundschulen. Braunschweig: Schroedel.</w:t>
            </w:r>
          </w:p>
          <w:p w14:paraId="791225E0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 xml:space="preserve">Rasch, R. (2003). 42 Denk- und Sachaufgaben. Wie Kinder mathematische Aufgaben lösen und diskutieren. Seelze: Friedrich/Kallmeyer </w:t>
            </w:r>
          </w:p>
          <w:p w14:paraId="4843EE59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>Rink, R. (2017). Die Ameise im Quadrat – Lernprozesse beim Sachrechnen begleiten. In: Die Grundschulzeitschrift 31/305</w:t>
            </w:r>
          </w:p>
          <w:p w14:paraId="711BB35B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>Rink, R. &amp; Lemensiek, A. (2017). Springst du so weit wie ein Floh? – Gemeinsam Sachrechnen mit Längen. In: Veber, M.; Berlinger, N.; Benölken, R.: Alle zusammen! Und jeder wie er will! – Offene, substanzielle Problemfelder als Gestaltungsbaustein für inklusiven Mathematikunterricht.</w:t>
            </w:r>
          </w:p>
          <w:p w14:paraId="4EBCA0E5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t>Rink, R. (Hrsg.) (2015). Von guten Aufgaben bis Skizzen zeichnen. Zum Sachrechnen im Mathematikunterricht der Grundschule. Hohengehren: Schneider.</w:t>
            </w:r>
          </w:p>
          <w:p w14:paraId="35754E54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 w:rsidRPr="00D55E28">
              <w:t xml:space="preserve">Schipper, W. (2009). Handbuch für den Mathematikunterricht an der Grundschule. </w:t>
            </w:r>
            <w:r>
              <w:t>Braunschweig: Schroe</w:t>
            </w:r>
            <w:r w:rsidRPr="00D55E28">
              <w:t>del.</w:t>
            </w:r>
            <w:r>
              <w:t xml:space="preserve"> </w:t>
            </w:r>
          </w:p>
          <w:p w14:paraId="704ABDE3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>
              <w:lastRenderedPageBreak/>
              <w:t xml:space="preserve">Spiegel, H.; </w:t>
            </w:r>
            <w:proofErr w:type="spellStart"/>
            <w:r>
              <w:t>Bennemann</w:t>
            </w:r>
            <w:proofErr w:type="spellEnd"/>
            <w:r>
              <w:t xml:space="preserve">, D. &amp; </w:t>
            </w:r>
            <w:proofErr w:type="spellStart"/>
            <w:r>
              <w:t>Wennig</w:t>
            </w:r>
            <w:proofErr w:type="spellEnd"/>
            <w:r>
              <w:t>, A. (2006). Wir verbrauchen zu viel Wasser. In: Die Grundschulzeitschrift, 42, S. 11-13 u. S. 60-63.</w:t>
            </w:r>
          </w:p>
          <w:p w14:paraId="7E639157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proofErr w:type="spellStart"/>
            <w:r>
              <w:t>Strehl</w:t>
            </w:r>
            <w:proofErr w:type="spellEnd"/>
            <w:r>
              <w:t>, R. (1979). Grundprobleme des Sachrechnens. Herder.</w:t>
            </w:r>
            <w:r w:rsidRPr="00587787">
              <w:t xml:space="preserve"> </w:t>
            </w:r>
          </w:p>
          <w:p w14:paraId="4CCBBBC1" w14:textId="77777777" w:rsidR="00A87317" w:rsidRDefault="00A87317" w:rsidP="00A87317">
            <w:pPr>
              <w:pStyle w:val="7Literatur"/>
              <w:framePr w:hSpace="0" w:wrap="auto" w:vAnchor="margin" w:hAnchor="text" w:xAlign="left" w:yAlign="inline"/>
            </w:pPr>
            <w:r w:rsidRPr="00587787">
              <w:t>Winter, H. (2003): Sachrechnen in der Grundschule. Berlin: Cornelsen.</w:t>
            </w:r>
          </w:p>
          <w:p w14:paraId="4CF59FE8" w14:textId="56B9C738" w:rsidR="00F5523B" w:rsidRDefault="00F5523B" w:rsidP="00F5523B">
            <w:pPr>
              <w:pStyle w:val="7Literatur"/>
              <w:framePr w:hSpace="0" w:wrap="auto" w:vAnchor="margin" w:hAnchor="text" w:xAlign="left" w:yAlign="inline"/>
            </w:pPr>
            <w:bookmarkStart w:id="0" w:name="_GoBack"/>
            <w:bookmarkEnd w:id="0"/>
          </w:p>
          <w:p w14:paraId="0A6DE162" w14:textId="2284977F" w:rsidR="00D14A16" w:rsidRPr="00A93A6E" w:rsidRDefault="00D14A16" w:rsidP="00A12AC8">
            <w:pPr>
              <w:pStyle w:val="7Literatur"/>
              <w:framePr w:wrap="around"/>
            </w:pPr>
          </w:p>
        </w:tc>
      </w:tr>
    </w:tbl>
    <w:p w14:paraId="356D560A" w14:textId="77777777" w:rsidR="003671D1" w:rsidRPr="00606854" w:rsidRDefault="003671D1" w:rsidP="00606854">
      <w:pPr>
        <w:rPr>
          <w:sz w:val="10"/>
          <w:szCs w:val="10"/>
        </w:rPr>
      </w:pPr>
    </w:p>
    <w:sectPr w:rsidR="003671D1" w:rsidRPr="00606854" w:rsidSect="00FE30BE">
      <w:headerReference w:type="default" r:id="rId12"/>
      <w:footerReference w:type="even" r:id="rId13"/>
      <w:footerReference w:type="defaul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7B961" w14:textId="77777777" w:rsidR="00AE4B0A" w:rsidRDefault="00AE4B0A">
      <w:pPr>
        <w:spacing w:after="0"/>
      </w:pPr>
      <w:r>
        <w:separator/>
      </w:r>
    </w:p>
  </w:endnote>
  <w:endnote w:type="continuationSeparator" w:id="0">
    <w:p w14:paraId="47FD5AC9" w14:textId="77777777" w:rsidR="00AE4B0A" w:rsidRDefault="00AE4B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637CF" w14:textId="77777777" w:rsidR="001D1009" w:rsidRDefault="0034730A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A7FEC1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7AF06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78A024F" wp14:editId="7487606C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2D7ED" w14:textId="77777777" w:rsidR="00AE4B0A" w:rsidRDefault="00AE4B0A">
      <w:pPr>
        <w:spacing w:after="0"/>
      </w:pPr>
      <w:r>
        <w:separator/>
      </w:r>
    </w:p>
  </w:footnote>
  <w:footnote w:type="continuationSeparator" w:id="0">
    <w:p w14:paraId="071D59D4" w14:textId="77777777" w:rsidR="00AE4B0A" w:rsidRDefault="00AE4B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D80F8" w14:textId="1CD0CE89" w:rsidR="001D1009" w:rsidRDefault="006D6332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AF81D0" wp14:editId="2384C095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762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090FCA" wp14:editId="4C8E1F28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3" name="Rectangl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<w:pict>
            <v:rect w14:anchorId="02CC26ED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" fillcolor="#327a86" stroked="f">
              <o:lock v:ext="edit" aspectratio="t" verticies="t" text="t" shapetype="t"/>
            </v:rect>
          </w:pict>
        </mc:Fallback>
      </mc:AlternateContent>
    </w:r>
  </w:p>
  <w:p w14:paraId="464959E6" w14:textId="0F25162F" w:rsidR="001D1009" w:rsidRDefault="001D1009" w:rsidP="009F47EB">
    <w:pPr>
      <w:pStyle w:val="Kopfzeile"/>
    </w:pPr>
  </w:p>
  <w:p w14:paraId="3DF789DD" w14:textId="0450533B" w:rsidR="001D1009" w:rsidRDefault="00B67626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ECDA92" wp14:editId="0A419A2C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0" t="0" r="0" b="12700"/>
              <wp:wrapNone/>
              <wp:docPr id="1" name="Textfeld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AF344" w14:textId="77777777" w:rsidR="001D1009" w:rsidRPr="00191C62" w:rsidRDefault="001E23A2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Sachrechnen GS</w:t>
                          </w:r>
                          <w:r w:rsidR="00332656">
                            <w:rPr>
                              <w:sz w:val="24"/>
                              <w:szCs w:val="24"/>
                            </w:rPr>
                            <w:t xml:space="preserve"> | Baustein </w:t>
                          </w:r>
                          <w:r w:rsidR="00241568">
                            <w:rPr>
                              <w:sz w:val="24"/>
                              <w:szCs w:val="24"/>
                            </w:rPr>
                            <w:t xml:space="preserve">4 </w:t>
                          </w:r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| </w:t>
                          </w:r>
                          <w:r w:rsidR="001D1009" w:rsidRPr="00191C62">
                            <w:rPr>
                              <w:sz w:val="24"/>
                              <w:szCs w:val="24"/>
                            </w:rPr>
                            <w:t xml:space="preserve">Steckbrief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ECDA9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" filled="f" stroked="f">
              <o:lock v:ext="edit" aspectratio="t" verticies="t" text="t" shapetype="t"/>
              <v:textbox>
                <w:txbxContent>
                  <w:p w14:paraId="088AF344" w14:textId="77777777" w:rsidR="001D1009" w:rsidRPr="00191C62" w:rsidRDefault="001E23A2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Sachrechnen GS</w:t>
                    </w:r>
                    <w:r w:rsidR="00332656">
                      <w:rPr>
                        <w:sz w:val="24"/>
                        <w:szCs w:val="24"/>
                      </w:rPr>
                      <w:t xml:space="preserve"> | Baustein </w:t>
                    </w:r>
                    <w:r w:rsidR="00241568">
                      <w:rPr>
                        <w:sz w:val="24"/>
                        <w:szCs w:val="24"/>
                      </w:rPr>
                      <w:t xml:space="preserve">4 </w:t>
                    </w:r>
                    <w:r w:rsidR="001D1009">
                      <w:rPr>
                        <w:sz w:val="24"/>
                        <w:szCs w:val="24"/>
                      </w:rPr>
                      <w:t xml:space="preserve">| </w:t>
                    </w:r>
                    <w:r w:rsidR="001D1009" w:rsidRPr="00191C62">
                      <w:rPr>
                        <w:sz w:val="24"/>
                        <w:szCs w:val="24"/>
                      </w:rPr>
                      <w:t xml:space="preserve">Steckbrief </w:t>
                    </w:r>
                  </w:p>
                </w:txbxContent>
              </v:textbox>
            </v:shape>
          </w:pict>
        </mc:Fallback>
      </mc:AlternateContent>
    </w:r>
  </w:p>
  <w:p w14:paraId="1895B3DC" w14:textId="77777777" w:rsidR="007904F9" w:rsidRDefault="007904F9" w:rsidP="009F47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252A4"/>
    <w:multiLevelType w:val="hybridMultilevel"/>
    <w:tmpl w:val="6F5A3A50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19B1442A"/>
    <w:multiLevelType w:val="hybridMultilevel"/>
    <w:tmpl w:val="6E981504"/>
    <w:lvl w:ilvl="0" w:tplc="79A66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F8B6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B0D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F29A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729B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8453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0CA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9E0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A45A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C7CED"/>
    <w:multiLevelType w:val="hybridMultilevel"/>
    <w:tmpl w:val="BA3AEA56"/>
    <w:lvl w:ilvl="0" w:tplc="BEC4DE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26244"/>
    <w:multiLevelType w:val="hybridMultilevel"/>
    <w:tmpl w:val="70B6750C"/>
    <w:lvl w:ilvl="0" w:tplc="9F0AB258">
      <w:start w:val="3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B4BA4"/>
    <w:multiLevelType w:val="hybridMultilevel"/>
    <w:tmpl w:val="CBC0FE3A"/>
    <w:lvl w:ilvl="0" w:tplc="CE622FB4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DB67FA"/>
    <w:multiLevelType w:val="hybridMultilevel"/>
    <w:tmpl w:val="53FA119A"/>
    <w:lvl w:ilvl="0" w:tplc="88A499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4C89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22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02AA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C0DF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7603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8E7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A1D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1CE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C554D"/>
    <w:multiLevelType w:val="hybridMultilevel"/>
    <w:tmpl w:val="F1BEBB0A"/>
    <w:lvl w:ilvl="0" w:tplc="32FEAF9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4" w:hanging="360"/>
      </w:pPr>
    </w:lvl>
    <w:lvl w:ilvl="2" w:tplc="0407001B" w:tentative="1">
      <w:start w:val="1"/>
      <w:numFmt w:val="lowerRoman"/>
      <w:lvlText w:val="%3."/>
      <w:lvlJc w:val="right"/>
      <w:pPr>
        <w:ind w:left="2254" w:hanging="180"/>
      </w:pPr>
    </w:lvl>
    <w:lvl w:ilvl="3" w:tplc="0407000F" w:tentative="1">
      <w:start w:val="1"/>
      <w:numFmt w:val="decimal"/>
      <w:lvlText w:val="%4."/>
      <w:lvlJc w:val="left"/>
      <w:pPr>
        <w:ind w:left="2974" w:hanging="360"/>
      </w:pPr>
    </w:lvl>
    <w:lvl w:ilvl="4" w:tplc="04070019" w:tentative="1">
      <w:start w:val="1"/>
      <w:numFmt w:val="lowerLetter"/>
      <w:lvlText w:val="%5."/>
      <w:lvlJc w:val="left"/>
      <w:pPr>
        <w:ind w:left="3694" w:hanging="360"/>
      </w:pPr>
    </w:lvl>
    <w:lvl w:ilvl="5" w:tplc="0407001B" w:tentative="1">
      <w:start w:val="1"/>
      <w:numFmt w:val="lowerRoman"/>
      <w:lvlText w:val="%6."/>
      <w:lvlJc w:val="right"/>
      <w:pPr>
        <w:ind w:left="4414" w:hanging="180"/>
      </w:pPr>
    </w:lvl>
    <w:lvl w:ilvl="6" w:tplc="0407000F" w:tentative="1">
      <w:start w:val="1"/>
      <w:numFmt w:val="decimal"/>
      <w:lvlText w:val="%7."/>
      <w:lvlJc w:val="left"/>
      <w:pPr>
        <w:ind w:left="5134" w:hanging="360"/>
      </w:pPr>
    </w:lvl>
    <w:lvl w:ilvl="7" w:tplc="04070019" w:tentative="1">
      <w:start w:val="1"/>
      <w:numFmt w:val="lowerLetter"/>
      <w:lvlText w:val="%8."/>
      <w:lvlJc w:val="left"/>
      <w:pPr>
        <w:ind w:left="5854" w:hanging="360"/>
      </w:pPr>
    </w:lvl>
    <w:lvl w:ilvl="8" w:tplc="0407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54535AB"/>
    <w:multiLevelType w:val="hybridMultilevel"/>
    <w:tmpl w:val="B732AE98"/>
    <w:lvl w:ilvl="0" w:tplc="CED420CC">
      <w:start w:val="3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728AF"/>
    <w:multiLevelType w:val="hybridMultilevel"/>
    <w:tmpl w:val="FDF07A2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ADD"/>
    <w:multiLevelType w:val="hybridMultilevel"/>
    <w:tmpl w:val="E2F68D3C"/>
    <w:lvl w:ilvl="0" w:tplc="CE32D4B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95724"/>
    <w:multiLevelType w:val="hybridMultilevel"/>
    <w:tmpl w:val="E7FC4AD2"/>
    <w:lvl w:ilvl="0" w:tplc="A05E9D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8"/>
  </w:num>
  <w:num w:numId="5">
    <w:abstractNumId w:val="10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4"/>
  </w:num>
  <w:num w:numId="1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E8"/>
    <w:rsid w:val="0001370D"/>
    <w:rsid w:val="00013E3B"/>
    <w:rsid w:val="00023223"/>
    <w:rsid w:val="00064B59"/>
    <w:rsid w:val="00065255"/>
    <w:rsid w:val="00082EB0"/>
    <w:rsid w:val="000A500C"/>
    <w:rsid w:val="000A6A4F"/>
    <w:rsid w:val="000B4FBC"/>
    <w:rsid w:val="000B65D1"/>
    <w:rsid w:val="000D3F69"/>
    <w:rsid w:val="000D6A4C"/>
    <w:rsid w:val="000D6D9F"/>
    <w:rsid w:val="000F24A3"/>
    <w:rsid w:val="00125D4B"/>
    <w:rsid w:val="0012799B"/>
    <w:rsid w:val="0013395B"/>
    <w:rsid w:val="001376F7"/>
    <w:rsid w:val="001449A8"/>
    <w:rsid w:val="0014662F"/>
    <w:rsid w:val="001474A4"/>
    <w:rsid w:val="00191C62"/>
    <w:rsid w:val="001A4D96"/>
    <w:rsid w:val="001C7D9F"/>
    <w:rsid w:val="001D1009"/>
    <w:rsid w:val="001D1BB4"/>
    <w:rsid w:val="001E15C5"/>
    <w:rsid w:val="001E23A2"/>
    <w:rsid w:val="001F145C"/>
    <w:rsid w:val="00202782"/>
    <w:rsid w:val="00207D73"/>
    <w:rsid w:val="00241056"/>
    <w:rsid w:val="00241568"/>
    <w:rsid w:val="0024618C"/>
    <w:rsid w:val="002561A3"/>
    <w:rsid w:val="002777D5"/>
    <w:rsid w:val="00280478"/>
    <w:rsid w:val="00286231"/>
    <w:rsid w:val="00290DA8"/>
    <w:rsid w:val="00295011"/>
    <w:rsid w:val="002A537E"/>
    <w:rsid w:val="002B22F5"/>
    <w:rsid w:val="002D3340"/>
    <w:rsid w:val="002E49CD"/>
    <w:rsid w:val="002F1C17"/>
    <w:rsid w:val="00305FE9"/>
    <w:rsid w:val="00306BC7"/>
    <w:rsid w:val="00311733"/>
    <w:rsid w:val="0032585D"/>
    <w:rsid w:val="00332656"/>
    <w:rsid w:val="00337CC6"/>
    <w:rsid w:val="0034730A"/>
    <w:rsid w:val="003510C3"/>
    <w:rsid w:val="00355AC9"/>
    <w:rsid w:val="00355BFD"/>
    <w:rsid w:val="00364016"/>
    <w:rsid w:val="0036464F"/>
    <w:rsid w:val="003671D1"/>
    <w:rsid w:val="00367E11"/>
    <w:rsid w:val="003B7401"/>
    <w:rsid w:val="003F2E1D"/>
    <w:rsid w:val="003F6F85"/>
    <w:rsid w:val="00402C61"/>
    <w:rsid w:val="00417E99"/>
    <w:rsid w:val="00427A5C"/>
    <w:rsid w:val="004401B0"/>
    <w:rsid w:val="00445E1F"/>
    <w:rsid w:val="00446BFE"/>
    <w:rsid w:val="00454A36"/>
    <w:rsid w:val="00460563"/>
    <w:rsid w:val="00467E8D"/>
    <w:rsid w:val="004728EF"/>
    <w:rsid w:val="004856EA"/>
    <w:rsid w:val="004A4168"/>
    <w:rsid w:val="004A49E4"/>
    <w:rsid w:val="004B449E"/>
    <w:rsid w:val="004B542F"/>
    <w:rsid w:val="004C6F16"/>
    <w:rsid w:val="004D3413"/>
    <w:rsid w:val="004D3CF4"/>
    <w:rsid w:val="004D4770"/>
    <w:rsid w:val="004D6DD8"/>
    <w:rsid w:val="004D7907"/>
    <w:rsid w:val="004E2634"/>
    <w:rsid w:val="004E6CF2"/>
    <w:rsid w:val="004F00B0"/>
    <w:rsid w:val="005048E6"/>
    <w:rsid w:val="0053341F"/>
    <w:rsid w:val="00535343"/>
    <w:rsid w:val="00540DD1"/>
    <w:rsid w:val="0055161C"/>
    <w:rsid w:val="00560BD2"/>
    <w:rsid w:val="00561758"/>
    <w:rsid w:val="0056713B"/>
    <w:rsid w:val="0058634A"/>
    <w:rsid w:val="005947BD"/>
    <w:rsid w:val="005A4FD7"/>
    <w:rsid w:val="005A7D09"/>
    <w:rsid w:val="005B68C5"/>
    <w:rsid w:val="005C3CE7"/>
    <w:rsid w:val="005D30D7"/>
    <w:rsid w:val="005D671B"/>
    <w:rsid w:val="005D6C36"/>
    <w:rsid w:val="005D7A9A"/>
    <w:rsid w:val="005E1694"/>
    <w:rsid w:val="005F0BEB"/>
    <w:rsid w:val="005F7D8B"/>
    <w:rsid w:val="0060359D"/>
    <w:rsid w:val="00603B7F"/>
    <w:rsid w:val="00606854"/>
    <w:rsid w:val="0061267C"/>
    <w:rsid w:val="00633646"/>
    <w:rsid w:val="00636DCA"/>
    <w:rsid w:val="00637169"/>
    <w:rsid w:val="00646682"/>
    <w:rsid w:val="0065315E"/>
    <w:rsid w:val="00672574"/>
    <w:rsid w:val="00680503"/>
    <w:rsid w:val="00683BAB"/>
    <w:rsid w:val="006841E3"/>
    <w:rsid w:val="00685599"/>
    <w:rsid w:val="00687D77"/>
    <w:rsid w:val="00693038"/>
    <w:rsid w:val="006A4A29"/>
    <w:rsid w:val="006C0054"/>
    <w:rsid w:val="006C0AF2"/>
    <w:rsid w:val="006C182A"/>
    <w:rsid w:val="006C4302"/>
    <w:rsid w:val="006C5065"/>
    <w:rsid w:val="006D4F93"/>
    <w:rsid w:val="006D6332"/>
    <w:rsid w:val="00743262"/>
    <w:rsid w:val="007477E6"/>
    <w:rsid w:val="00752D64"/>
    <w:rsid w:val="00760C61"/>
    <w:rsid w:val="0076755B"/>
    <w:rsid w:val="00777CAE"/>
    <w:rsid w:val="00783749"/>
    <w:rsid w:val="007904F9"/>
    <w:rsid w:val="007B562F"/>
    <w:rsid w:val="007D1981"/>
    <w:rsid w:val="007D3C35"/>
    <w:rsid w:val="007D74A3"/>
    <w:rsid w:val="007E312A"/>
    <w:rsid w:val="007F54B8"/>
    <w:rsid w:val="00815D5B"/>
    <w:rsid w:val="00817A4B"/>
    <w:rsid w:val="00817F02"/>
    <w:rsid w:val="008227BA"/>
    <w:rsid w:val="008274E1"/>
    <w:rsid w:val="00841162"/>
    <w:rsid w:val="008435A8"/>
    <w:rsid w:val="00844165"/>
    <w:rsid w:val="008532C2"/>
    <w:rsid w:val="008535C0"/>
    <w:rsid w:val="00871135"/>
    <w:rsid w:val="00880380"/>
    <w:rsid w:val="008A65FE"/>
    <w:rsid w:val="008B0684"/>
    <w:rsid w:val="008C599C"/>
    <w:rsid w:val="008D1300"/>
    <w:rsid w:val="008D1528"/>
    <w:rsid w:val="008E5611"/>
    <w:rsid w:val="008E6244"/>
    <w:rsid w:val="008F2B28"/>
    <w:rsid w:val="008F73E8"/>
    <w:rsid w:val="00916131"/>
    <w:rsid w:val="009163F8"/>
    <w:rsid w:val="00917141"/>
    <w:rsid w:val="00921FFF"/>
    <w:rsid w:val="0092308A"/>
    <w:rsid w:val="009232FA"/>
    <w:rsid w:val="00926C39"/>
    <w:rsid w:val="009336D1"/>
    <w:rsid w:val="0095080C"/>
    <w:rsid w:val="00961238"/>
    <w:rsid w:val="00967DF3"/>
    <w:rsid w:val="00983EDC"/>
    <w:rsid w:val="00984AF5"/>
    <w:rsid w:val="009857DA"/>
    <w:rsid w:val="009B03E1"/>
    <w:rsid w:val="009C3D80"/>
    <w:rsid w:val="009C5BC8"/>
    <w:rsid w:val="009F47EB"/>
    <w:rsid w:val="00A03083"/>
    <w:rsid w:val="00A12AC8"/>
    <w:rsid w:val="00A20579"/>
    <w:rsid w:val="00A20EDB"/>
    <w:rsid w:val="00A21A69"/>
    <w:rsid w:val="00A22554"/>
    <w:rsid w:val="00A23222"/>
    <w:rsid w:val="00A332FF"/>
    <w:rsid w:val="00A40ABC"/>
    <w:rsid w:val="00A42B50"/>
    <w:rsid w:val="00A508D0"/>
    <w:rsid w:val="00A62971"/>
    <w:rsid w:val="00A67222"/>
    <w:rsid w:val="00A81871"/>
    <w:rsid w:val="00A87317"/>
    <w:rsid w:val="00A93A6E"/>
    <w:rsid w:val="00A94217"/>
    <w:rsid w:val="00AC1CBD"/>
    <w:rsid w:val="00AC34A7"/>
    <w:rsid w:val="00AD0442"/>
    <w:rsid w:val="00AE4B0A"/>
    <w:rsid w:val="00AF1BB3"/>
    <w:rsid w:val="00B0118B"/>
    <w:rsid w:val="00B03FA7"/>
    <w:rsid w:val="00B10167"/>
    <w:rsid w:val="00B1215B"/>
    <w:rsid w:val="00B22EF0"/>
    <w:rsid w:val="00B26106"/>
    <w:rsid w:val="00B44E02"/>
    <w:rsid w:val="00B553D1"/>
    <w:rsid w:val="00B557AF"/>
    <w:rsid w:val="00B5748C"/>
    <w:rsid w:val="00B66982"/>
    <w:rsid w:val="00B67626"/>
    <w:rsid w:val="00B70C38"/>
    <w:rsid w:val="00B96DEF"/>
    <w:rsid w:val="00BA599F"/>
    <w:rsid w:val="00BA79DF"/>
    <w:rsid w:val="00BB7568"/>
    <w:rsid w:val="00BC7B3B"/>
    <w:rsid w:val="00BE1ACC"/>
    <w:rsid w:val="00BE257A"/>
    <w:rsid w:val="00BE3748"/>
    <w:rsid w:val="00BE536D"/>
    <w:rsid w:val="00BF50F7"/>
    <w:rsid w:val="00BF5422"/>
    <w:rsid w:val="00C11122"/>
    <w:rsid w:val="00C16D25"/>
    <w:rsid w:val="00C265E1"/>
    <w:rsid w:val="00C44C02"/>
    <w:rsid w:val="00C47BAF"/>
    <w:rsid w:val="00C52312"/>
    <w:rsid w:val="00C60F3C"/>
    <w:rsid w:val="00C62625"/>
    <w:rsid w:val="00C67092"/>
    <w:rsid w:val="00C735CD"/>
    <w:rsid w:val="00C74A1A"/>
    <w:rsid w:val="00C82251"/>
    <w:rsid w:val="00C86F6F"/>
    <w:rsid w:val="00CB1767"/>
    <w:rsid w:val="00CB2FBC"/>
    <w:rsid w:val="00CC466E"/>
    <w:rsid w:val="00CE1BBD"/>
    <w:rsid w:val="00CF6735"/>
    <w:rsid w:val="00CF70A0"/>
    <w:rsid w:val="00D14A16"/>
    <w:rsid w:val="00D1654A"/>
    <w:rsid w:val="00D20F69"/>
    <w:rsid w:val="00D21C6E"/>
    <w:rsid w:val="00D2750F"/>
    <w:rsid w:val="00D56412"/>
    <w:rsid w:val="00DA24A7"/>
    <w:rsid w:val="00DA2672"/>
    <w:rsid w:val="00DA4DF5"/>
    <w:rsid w:val="00DA5B6B"/>
    <w:rsid w:val="00DC6080"/>
    <w:rsid w:val="00DC63AB"/>
    <w:rsid w:val="00DF3B98"/>
    <w:rsid w:val="00E0569C"/>
    <w:rsid w:val="00E06329"/>
    <w:rsid w:val="00E10A19"/>
    <w:rsid w:val="00E10CD2"/>
    <w:rsid w:val="00E23EAD"/>
    <w:rsid w:val="00E301F9"/>
    <w:rsid w:val="00E52D6B"/>
    <w:rsid w:val="00E5494B"/>
    <w:rsid w:val="00E552B3"/>
    <w:rsid w:val="00E61B58"/>
    <w:rsid w:val="00E65275"/>
    <w:rsid w:val="00E90426"/>
    <w:rsid w:val="00EB7490"/>
    <w:rsid w:val="00EC22BF"/>
    <w:rsid w:val="00EC4847"/>
    <w:rsid w:val="00ED4676"/>
    <w:rsid w:val="00F06C3B"/>
    <w:rsid w:val="00F11EEF"/>
    <w:rsid w:val="00F2752B"/>
    <w:rsid w:val="00F415C4"/>
    <w:rsid w:val="00F45241"/>
    <w:rsid w:val="00F53584"/>
    <w:rsid w:val="00F545C2"/>
    <w:rsid w:val="00F5523B"/>
    <w:rsid w:val="00F62A95"/>
    <w:rsid w:val="00F67452"/>
    <w:rsid w:val="00F74B74"/>
    <w:rsid w:val="00F83EE8"/>
    <w:rsid w:val="00F9474E"/>
    <w:rsid w:val="00FA518E"/>
    <w:rsid w:val="00FA7924"/>
    <w:rsid w:val="00FB01D9"/>
    <w:rsid w:val="00FC1371"/>
    <w:rsid w:val="00FC1A53"/>
    <w:rsid w:val="00FD5804"/>
    <w:rsid w:val="00FD72DA"/>
    <w:rsid w:val="00FE30BE"/>
    <w:rsid w:val="00FE630D"/>
    <w:rsid w:val="00F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21F6AB"/>
  <w15:docId w15:val="{02364AFE-2AB8-4A13-B397-A2ED9A2A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FB01D9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1"/>
      </w:numPr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paragraph" w:customStyle="1" w:styleId="Standard1">
    <w:name w:val="Standard1"/>
    <w:rsid w:val="00540DD1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241568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B01D9"/>
    <w:pPr>
      <w:spacing w:after="0"/>
    </w:pPr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B01D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4814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13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6918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34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7918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3153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086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844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281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301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639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1653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934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448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789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pikas.dzlm.de/209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1104B-DC40-495B-AF78-48180336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8165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EB</cp:lastModifiedBy>
  <cp:revision>2</cp:revision>
  <cp:lastPrinted>2018-05-04T12:51:00Z</cp:lastPrinted>
  <dcterms:created xsi:type="dcterms:W3CDTF">2019-07-10T07:04:00Z</dcterms:created>
  <dcterms:modified xsi:type="dcterms:W3CDTF">2019-07-10T07:04:00Z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